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A7D8" w14:textId="3748AB54" w:rsidR="000B6A07" w:rsidRDefault="000B6A07" w:rsidP="00666C9B">
      <w:pPr>
        <w:keepNext/>
        <w:keepLines/>
        <w:spacing w:before="300" w:after="120"/>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5AAC6F5B" wp14:editId="2438E57B">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65913">
        <w:rPr>
          <w:rFonts w:eastAsia="Times New Roman"/>
          <w:b/>
          <w:bCs/>
          <w:color w:val="122926"/>
          <w:sz w:val="44"/>
          <w:szCs w:val="28"/>
        </w:rPr>
        <w:t>Firefighter</w:t>
      </w:r>
      <w:r w:rsidR="0096674A">
        <w:rPr>
          <w:rFonts w:eastAsia="Times New Roman"/>
          <w:b/>
          <w:bCs/>
          <w:color w:val="122926"/>
          <w:sz w:val="44"/>
          <w:szCs w:val="28"/>
        </w:rPr>
        <w:t xml:space="preserve"> Occupation</w:t>
      </w:r>
      <w:r>
        <w:rPr>
          <w:rFonts w:eastAsia="Times New Roman"/>
          <w:b/>
          <w:bCs/>
          <w:color w:val="122926"/>
          <w:sz w:val="44"/>
          <w:szCs w:val="28"/>
        </w:rPr>
        <w:t xml:space="preserve"> </w:t>
      </w:r>
    </w:p>
    <w:p w14:paraId="109AF8AA" w14:textId="77777777" w:rsidR="000B6A07" w:rsidRDefault="000B6A07" w:rsidP="000B6A07">
      <w:pPr>
        <w:keepNext/>
        <w:keepLines/>
        <w:spacing w:after="120"/>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24425A84" w14:textId="77777777" w:rsidR="000B6A07" w:rsidRDefault="000B6A07" w:rsidP="000B6A07">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20973BBE" w14:textId="77777777" w:rsidR="000B6A07" w:rsidRDefault="000B6A07" w:rsidP="000B6A07">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64DBADEE" w14:textId="377D65C6" w:rsidR="000B6A07" w:rsidRPr="00850238" w:rsidRDefault="00252D6A" w:rsidP="000B6A07">
      <w:pPr>
        <w:keepNext/>
        <w:keepLines/>
        <w:spacing w:after="0"/>
        <w:jc w:val="center"/>
        <w:outlineLvl w:val="0"/>
        <w:rPr>
          <w:rFonts w:eastAsia="Times New Roman"/>
          <w:bCs/>
          <w:color w:val="122926"/>
          <w:sz w:val="28"/>
          <w:szCs w:val="28"/>
        </w:rPr>
      </w:pPr>
      <w:r>
        <w:rPr>
          <w:rFonts w:eastAsia="Times New Roman"/>
          <w:bCs/>
          <w:color w:val="122926"/>
          <w:sz w:val="28"/>
          <w:szCs w:val="28"/>
        </w:rPr>
        <w:t>February</w:t>
      </w:r>
      <w:r w:rsidR="009E65F5">
        <w:rPr>
          <w:rFonts w:eastAsia="Times New Roman"/>
          <w:bCs/>
          <w:color w:val="122926"/>
          <w:sz w:val="28"/>
          <w:szCs w:val="28"/>
        </w:rPr>
        <w:t xml:space="preserve"> 2018</w:t>
      </w:r>
    </w:p>
    <w:p w14:paraId="29644048" w14:textId="77777777" w:rsidR="00F370A1" w:rsidRDefault="00F370A1" w:rsidP="00F370A1">
      <w:pPr>
        <w:pStyle w:val="Heading1"/>
      </w:pPr>
      <w:r>
        <w:t>Recommendation</w:t>
      </w:r>
    </w:p>
    <w:p w14:paraId="2C85B4FC" w14:textId="3FB7D7D9" w:rsidR="0079703F" w:rsidRDefault="0040391C" w:rsidP="0040391C">
      <w:pPr>
        <w:spacing w:line="240" w:lineRule="auto"/>
      </w:pPr>
      <w:r>
        <w:t>Based on all availa</w:t>
      </w:r>
      <w:r w:rsidR="005A691C">
        <w:t>ble data</w:t>
      </w:r>
      <w:r>
        <w:t>, there appears to b</w:t>
      </w:r>
      <w:r w:rsidR="00E5330C">
        <w:t xml:space="preserve">e an </w:t>
      </w:r>
      <w:r w:rsidR="00B65913">
        <w:t xml:space="preserve">undersupply of Firefighters </w:t>
      </w:r>
      <w:r w:rsidR="0079703F">
        <w:t>compared to the demand for this</w:t>
      </w:r>
      <w:r>
        <w:t xml:space="preserve"> occupation in the Bay region and the </w:t>
      </w:r>
      <w:r w:rsidR="00604549">
        <w:t>Santa Cruz-Monterey (SC-Monterey)</w:t>
      </w:r>
      <w:r>
        <w:t xml:space="preserve"> sub-region. The annual gap betwee</w:t>
      </w:r>
      <w:r w:rsidR="00A56CE1">
        <w:t xml:space="preserve">n demand and supply </w:t>
      </w:r>
      <w:r w:rsidR="0079703F">
        <w:t xml:space="preserve">from Fire Academy programs </w:t>
      </w:r>
      <w:r w:rsidR="00A56CE1">
        <w:t>is about 52</w:t>
      </w:r>
      <w:r w:rsidR="00960FA2">
        <w:t xml:space="preserve">5 in the region and </w:t>
      </w:r>
      <w:r w:rsidR="00A56CE1">
        <w:t>85</w:t>
      </w:r>
      <w:r>
        <w:t xml:space="preserve"> in the </w:t>
      </w:r>
      <w:r w:rsidR="00604549">
        <w:t>SC-Monterey</w:t>
      </w:r>
      <w:r>
        <w:t xml:space="preserve"> sub-region. </w:t>
      </w:r>
      <w:r w:rsidR="00C309E6">
        <w:t xml:space="preserve">This </w:t>
      </w:r>
      <w:r>
        <w:t xml:space="preserve">undersupply warrants the addition of the proposed Fire Academy </w:t>
      </w:r>
      <w:r w:rsidR="0079703F">
        <w:t xml:space="preserve">certificate </w:t>
      </w:r>
      <w:r>
        <w:t>program.</w:t>
      </w:r>
      <w:r w:rsidR="0079703F">
        <w:t xml:space="preserve">  However, there are 440 annual average awards on TOP 2133.00 (Fire Technology) in the Bay region and 26 annual average awards in the SC-Monterey sub-region.  If those awards are taken into account and added to awards for Fire Academy (TOP 2133.50), then the regional gap shrinks to 83, and the sub-regional gap is 59.  </w:t>
      </w:r>
    </w:p>
    <w:p w14:paraId="2B01751A" w14:textId="7E227F62" w:rsidR="0040391C" w:rsidRDefault="0040391C" w:rsidP="00A56CE1">
      <w:pPr>
        <w:spacing w:line="240" w:lineRule="auto"/>
      </w:pPr>
      <w:r>
        <w:t>This report also provides student outcomes data on employment and earnings for regional and sub-region</w:t>
      </w:r>
      <w:r w:rsidR="00A56CE1">
        <w:t>al</w:t>
      </w:r>
      <w:r>
        <w:t xml:space="preserve"> Fire Academy programs compared to other community colleges in the state with Fire Academy programs</w:t>
      </w:r>
      <w:r w:rsidR="00A56CE1">
        <w:t xml:space="preserve"> on TOP code 2133.50</w:t>
      </w:r>
      <w:r>
        <w:t xml:space="preserve">. </w:t>
      </w:r>
      <w:r w:rsidR="0079703F">
        <w:t xml:space="preserve"> </w:t>
      </w:r>
      <w:r w:rsidR="00A56CE1">
        <w:t>It is recommended that this data be reviewed t</w:t>
      </w:r>
      <w:r w:rsidR="00D35681">
        <w:t xml:space="preserve">o better understand how </w:t>
      </w:r>
      <w:r w:rsidR="00A56CE1">
        <w:t xml:space="preserve">outcomes for Monterey </w:t>
      </w:r>
      <w:r w:rsidR="00604549">
        <w:t xml:space="preserve">Peninsula College (MPC) students </w:t>
      </w:r>
      <w:r w:rsidR="00A56CE1">
        <w:t xml:space="preserve">taking courses on this TOP code compare to potentially similar programs at colleges in the state, region and sub-region as well as to outcomes across all programs at </w:t>
      </w:r>
      <w:r w:rsidR="00604549">
        <w:t>MPC</w:t>
      </w:r>
      <w:r w:rsidR="00A56CE1">
        <w:t xml:space="preserve"> and in the region.</w:t>
      </w:r>
    </w:p>
    <w:p w14:paraId="3EF065ED" w14:textId="77777777" w:rsidR="002155A4" w:rsidRDefault="002155A4" w:rsidP="001F5774">
      <w:pPr>
        <w:pStyle w:val="Heading1"/>
        <w:spacing w:before="360"/>
      </w:pPr>
      <w:r>
        <w:t>Introduction</w:t>
      </w:r>
    </w:p>
    <w:p w14:paraId="41330105" w14:textId="4D9593FB" w:rsidR="00FF7EF9" w:rsidRPr="00E0419C" w:rsidRDefault="00F57E7C" w:rsidP="00666C9B">
      <w:pPr>
        <w:spacing w:after="120" w:line="240" w:lineRule="auto"/>
      </w:pPr>
      <w:r>
        <w:t xml:space="preserve">This report profiles </w:t>
      </w:r>
      <w:r w:rsidR="0096674A">
        <w:t>the Firefighter occupation</w:t>
      </w:r>
      <w:r w:rsidR="00E5330C">
        <w:t xml:space="preserve"> </w:t>
      </w:r>
      <w:r w:rsidR="00520FCD">
        <w:t>in t</w:t>
      </w:r>
      <w:r w:rsidR="00A56CE1">
        <w:t xml:space="preserve">he 12 county Bay Region and SC-Monterey </w:t>
      </w:r>
      <w:r w:rsidR="00520FCD">
        <w:t>(</w:t>
      </w:r>
      <w:r w:rsidR="00A56CE1">
        <w:t>Monterey, San Benito and Santa Cruz</w:t>
      </w:r>
      <w:r w:rsidR="00E5330C">
        <w:t xml:space="preserve"> counties) to help inform </w:t>
      </w:r>
      <w:r w:rsidR="004053F3">
        <w:t xml:space="preserve">the decision regarding </w:t>
      </w:r>
      <w:r w:rsidR="00E35635">
        <w:t xml:space="preserve">a new </w:t>
      </w:r>
      <w:r w:rsidR="00A56CE1">
        <w:t>Firefighter I</w:t>
      </w:r>
      <w:r w:rsidR="00E35635">
        <w:t xml:space="preserve"> </w:t>
      </w:r>
      <w:r w:rsidR="00A56CE1">
        <w:t>Certificate of Achievement</w:t>
      </w:r>
      <w:r w:rsidR="00E35635">
        <w:t xml:space="preserve"> at </w:t>
      </w:r>
      <w:r w:rsidR="00A56CE1">
        <w:t>Monterey Peninsula College.</w:t>
      </w:r>
    </w:p>
    <w:p w14:paraId="59829BBA" w14:textId="07AFFCEA" w:rsidR="00E9611A" w:rsidRDefault="00E35635" w:rsidP="006A5228">
      <w:pPr>
        <w:pStyle w:val="ListParagraph"/>
        <w:numPr>
          <w:ilvl w:val="0"/>
          <w:numId w:val="1"/>
        </w:numPr>
        <w:spacing w:after="0" w:line="240" w:lineRule="auto"/>
        <w:ind w:left="576"/>
      </w:pPr>
      <w:r>
        <w:rPr>
          <w:b/>
        </w:rPr>
        <w:t>Firefighters</w:t>
      </w:r>
      <w:r w:rsidR="00EB77AE" w:rsidRPr="00EB77AE">
        <w:rPr>
          <w:b/>
        </w:rPr>
        <w:t xml:space="preserve"> </w:t>
      </w:r>
      <w:r w:rsidR="00E9611A">
        <w:rPr>
          <w:b/>
        </w:rPr>
        <w:t xml:space="preserve">(SOC </w:t>
      </w:r>
      <w:r>
        <w:rPr>
          <w:b/>
        </w:rPr>
        <w:t>33-2</w:t>
      </w:r>
      <w:r w:rsidR="00F248AB">
        <w:rPr>
          <w:b/>
        </w:rPr>
        <w:t>011</w:t>
      </w:r>
      <w:r w:rsidR="00E9611A">
        <w:rPr>
          <w:b/>
        </w:rPr>
        <w:t>)</w:t>
      </w:r>
      <w:r w:rsidR="00E9611A">
        <w:t xml:space="preserve">: </w:t>
      </w:r>
      <w:r w:rsidRPr="00E35635">
        <w:rPr>
          <w:rFonts w:asciiTheme="majorHAnsi" w:hAnsiTheme="majorHAnsi" w:cs="Arial"/>
          <w:color w:val="auto"/>
          <w:shd w:val="clear" w:color="auto" w:fill="FFFFFF"/>
        </w:rPr>
        <w:t>Control and extinguish fires or respond to emergency situations where life, property, or the environment is at risk. Duties may include fire prevention, emergency medical service, hazardous material response, search and rescue, and disaster assistance.</w:t>
      </w:r>
    </w:p>
    <w:p w14:paraId="029D24E3" w14:textId="334013A5" w:rsidR="00E9611A" w:rsidRDefault="00E9611A" w:rsidP="00E5330C">
      <w:pPr>
        <w:spacing w:after="0" w:line="240" w:lineRule="auto"/>
        <w:ind w:left="720"/>
      </w:pPr>
      <w:r w:rsidRPr="00193BC4">
        <w:rPr>
          <w:i/>
        </w:rPr>
        <w:t>Entry-Level Educational Requirement:</w:t>
      </w:r>
      <w:r>
        <w:t xml:space="preserve"> </w:t>
      </w:r>
      <w:r w:rsidR="002C2AFA">
        <w:rPr>
          <w:i/>
        </w:rPr>
        <w:t xml:space="preserve">Postsecondary </w:t>
      </w:r>
      <w:proofErr w:type="spellStart"/>
      <w:r w:rsidR="002C2AFA">
        <w:rPr>
          <w:i/>
        </w:rPr>
        <w:t>nondegree</w:t>
      </w:r>
      <w:proofErr w:type="spellEnd"/>
      <w:r w:rsidR="002C2AFA">
        <w:rPr>
          <w:i/>
        </w:rPr>
        <w:t xml:space="preserve"> award</w:t>
      </w:r>
    </w:p>
    <w:p w14:paraId="619CC4AC" w14:textId="54BFB8C1" w:rsidR="00E9611A" w:rsidRDefault="00E9611A" w:rsidP="00E5330C">
      <w:pPr>
        <w:spacing w:after="0" w:line="240" w:lineRule="auto"/>
        <w:ind w:left="720"/>
      </w:pPr>
      <w:r w:rsidRPr="00193BC4">
        <w:rPr>
          <w:i/>
        </w:rPr>
        <w:t>Training Requirement:</w:t>
      </w:r>
      <w:r>
        <w:t xml:space="preserve"> </w:t>
      </w:r>
      <w:r w:rsidR="002C2AFA">
        <w:rPr>
          <w:i/>
        </w:rPr>
        <w:t>Long</w:t>
      </w:r>
      <w:r w:rsidR="00150FE1">
        <w:rPr>
          <w:i/>
        </w:rPr>
        <w:t>-term on-the-job training</w:t>
      </w:r>
    </w:p>
    <w:p w14:paraId="5631DAC5" w14:textId="2F32758B" w:rsidR="00E9611A" w:rsidRDefault="00E9611A" w:rsidP="00B87926">
      <w:pPr>
        <w:spacing w:after="0" w:line="240" w:lineRule="auto"/>
        <w:ind w:left="720"/>
      </w:pPr>
      <w:r w:rsidRPr="00193BC4">
        <w:rPr>
          <w:i/>
        </w:rPr>
        <w:t>Percentage of Community College Award Holders or Some Postsecondary Coursework:</w:t>
      </w:r>
      <w:r w:rsidR="00CF5346">
        <w:t xml:space="preserve"> 6</w:t>
      </w:r>
      <w:r w:rsidR="001D11AB">
        <w:t>2</w:t>
      </w:r>
      <w:r>
        <w:t>%</w:t>
      </w:r>
    </w:p>
    <w:p w14:paraId="07EC2BA1" w14:textId="77777777" w:rsidR="002155A4" w:rsidRDefault="002155A4" w:rsidP="00B87926">
      <w:pPr>
        <w:pStyle w:val="Heading1"/>
        <w:spacing w:before="360"/>
      </w:pPr>
      <w:r>
        <w:t>Occupational Demand</w:t>
      </w:r>
    </w:p>
    <w:p w14:paraId="1ADA1F55" w14:textId="6CFA76FF" w:rsidR="002155A4" w:rsidRPr="00552133" w:rsidRDefault="002155A4" w:rsidP="00666C9B">
      <w:pPr>
        <w:pStyle w:val="NoSpacing"/>
        <w:spacing w:after="120"/>
        <w:rPr>
          <w:b/>
        </w:rPr>
      </w:pPr>
      <w:r w:rsidRPr="00552133">
        <w:rPr>
          <w:b/>
        </w:rPr>
        <w:t xml:space="preserve">Table 1. </w:t>
      </w:r>
      <w:r>
        <w:rPr>
          <w:b/>
        </w:rPr>
        <w:t xml:space="preserve">Employment Outlook for </w:t>
      </w:r>
      <w:r w:rsidR="0096674A">
        <w:rPr>
          <w:b/>
        </w:rPr>
        <w:t xml:space="preserve">Firefighters </w:t>
      </w:r>
      <w:r w:rsidR="009857B9">
        <w:rPr>
          <w:b/>
        </w:rPr>
        <w:t xml:space="preserve">in Bay </w:t>
      </w:r>
      <w:r w:rsidR="00B87926">
        <w:rPr>
          <w:b/>
        </w:rPr>
        <w:t>Region and SC-Monterey Sub-Region</w:t>
      </w:r>
    </w:p>
    <w:tbl>
      <w:tblPr>
        <w:tblW w:w="9982"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1252"/>
        <w:gridCol w:w="1350"/>
        <w:gridCol w:w="810"/>
        <w:gridCol w:w="810"/>
        <w:gridCol w:w="900"/>
        <w:gridCol w:w="900"/>
        <w:gridCol w:w="1080"/>
        <w:gridCol w:w="1080"/>
        <w:gridCol w:w="900"/>
        <w:gridCol w:w="900"/>
      </w:tblGrid>
      <w:tr w:rsidR="00705F16" w:rsidRPr="008409A0" w14:paraId="759EC033" w14:textId="5711BF7F" w:rsidTr="00705F16">
        <w:trPr>
          <w:trHeight w:val="755"/>
        </w:trPr>
        <w:tc>
          <w:tcPr>
            <w:tcW w:w="1252"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3CF0C0B1" w14:textId="4FBE4441" w:rsidR="00B87926" w:rsidRPr="008409A0" w:rsidRDefault="00B87926" w:rsidP="00D44B54">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135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6FFBAD65" w14:textId="26D1B575" w:rsidR="00B87926" w:rsidRPr="008409A0" w:rsidRDefault="00B87926" w:rsidP="00D44B54">
            <w:pPr>
              <w:spacing w:after="0" w:line="240" w:lineRule="auto"/>
              <w:jc w:val="center"/>
              <w:rPr>
                <w:rFonts w:eastAsia="Times New Roman"/>
                <w:bCs/>
                <w:sz w:val="21"/>
                <w:szCs w:val="21"/>
              </w:rPr>
            </w:pPr>
            <w:r>
              <w:rPr>
                <w:rFonts w:eastAsia="Times New Roman"/>
                <w:bCs/>
                <w:sz w:val="21"/>
                <w:szCs w:val="21"/>
              </w:rPr>
              <w:t>Region or Sub-Region</w:t>
            </w:r>
          </w:p>
        </w:tc>
        <w:tc>
          <w:tcPr>
            <w:tcW w:w="81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B1D24B5" w14:textId="6D18EAFC" w:rsidR="00B87926" w:rsidRPr="008409A0" w:rsidRDefault="00B87926" w:rsidP="00D44B54">
            <w:pPr>
              <w:spacing w:after="0" w:line="240" w:lineRule="auto"/>
              <w:jc w:val="center"/>
              <w:rPr>
                <w:rFonts w:eastAsia="Times New Roman"/>
                <w:bCs/>
                <w:sz w:val="21"/>
                <w:szCs w:val="21"/>
              </w:rPr>
            </w:pPr>
            <w:r w:rsidRPr="008409A0">
              <w:rPr>
                <w:rFonts w:eastAsia="Times New Roman"/>
                <w:bCs/>
                <w:sz w:val="21"/>
                <w:szCs w:val="21"/>
              </w:rPr>
              <w:t>2016 Jobs</w:t>
            </w:r>
          </w:p>
        </w:tc>
        <w:tc>
          <w:tcPr>
            <w:tcW w:w="81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28162EDD" w14:textId="30C8F071" w:rsidR="00B87926" w:rsidRPr="008409A0" w:rsidRDefault="00B87926" w:rsidP="00D44B54">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610988B" w14:textId="187F8AAD" w:rsidR="00B87926" w:rsidRPr="008409A0" w:rsidRDefault="00B87926" w:rsidP="00D44B54">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5B8F88A" w14:textId="0DE40778" w:rsidR="00B87926" w:rsidRPr="008409A0" w:rsidRDefault="00B87926" w:rsidP="00D44B54">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423C3A3" w14:textId="3F4AB622" w:rsidR="00B87926" w:rsidRPr="008409A0" w:rsidRDefault="00B87926" w:rsidP="00D44B54">
            <w:pPr>
              <w:spacing w:after="0" w:line="240" w:lineRule="auto"/>
              <w:jc w:val="center"/>
              <w:rPr>
                <w:rFonts w:eastAsia="Times New Roman"/>
                <w:bCs/>
                <w:sz w:val="21"/>
                <w:szCs w:val="21"/>
              </w:rPr>
            </w:pPr>
            <w:r>
              <w:rPr>
                <w:rFonts w:eastAsia="Times New Roman"/>
                <w:bCs/>
                <w:sz w:val="21"/>
                <w:szCs w:val="21"/>
              </w:rPr>
              <w:t>5-Year Openings</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B1527A4" w14:textId="10D2CB56" w:rsidR="00B87926" w:rsidRPr="008409A0" w:rsidRDefault="00B87926" w:rsidP="00D44B54">
            <w:pPr>
              <w:spacing w:after="0" w:line="240" w:lineRule="auto"/>
              <w:jc w:val="center"/>
              <w:rPr>
                <w:rFonts w:eastAsia="Times New Roman"/>
                <w:bCs/>
                <w:sz w:val="21"/>
                <w:szCs w:val="21"/>
              </w:rPr>
            </w:pPr>
            <w:r>
              <w:rPr>
                <w:rFonts w:eastAsia="Times New Roman"/>
                <w:bCs/>
                <w:sz w:val="21"/>
                <w:szCs w:val="21"/>
              </w:rPr>
              <w:t>Annual</w:t>
            </w:r>
            <w:r w:rsidR="00705F16">
              <w:rPr>
                <w:rFonts w:eastAsia="Times New Roman"/>
                <w:bCs/>
                <w:sz w:val="21"/>
                <w:szCs w:val="21"/>
              </w:rPr>
              <w:t xml:space="preserve"> Open</w:t>
            </w:r>
            <w:r>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5909B761" w14:textId="2ECBF72C" w:rsidR="00B87926" w:rsidRPr="008409A0" w:rsidRDefault="00B87926" w:rsidP="00D44B54">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5EEC6066" w14:textId="6DD18DD8" w:rsidR="00B87926" w:rsidRDefault="00B87926" w:rsidP="00D44B54">
            <w:pPr>
              <w:spacing w:after="0" w:line="240" w:lineRule="auto"/>
              <w:jc w:val="center"/>
              <w:rPr>
                <w:rFonts w:eastAsia="Times New Roman"/>
                <w:bCs/>
                <w:sz w:val="21"/>
                <w:szCs w:val="21"/>
              </w:rPr>
            </w:pPr>
            <w:r>
              <w:rPr>
                <w:rFonts w:eastAsia="Times New Roman"/>
                <w:bCs/>
                <w:sz w:val="21"/>
                <w:szCs w:val="21"/>
              </w:rPr>
              <w:t>Median Hourly Wage</w:t>
            </w:r>
          </w:p>
        </w:tc>
      </w:tr>
      <w:tr w:rsidR="00B87926" w:rsidRPr="005E2EB4" w14:paraId="272F1C55" w14:textId="77777777" w:rsidTr="00705F16">
        <w:trPr>
          <w:trHeight w:val="188"/>
        </w:trPr>
        <w:tc>
          <w:tcPr>
            <w:tcW w:w="1252" w:type="dxa"/>
            <w:tcBorders>
              <w:left w:val="single" w:sz="4" w:space="0" w:color="A6A6A6" w:themeColor="background1" w:themeShade="A6"/>
              <w:right w:val="single" w:sz="4" w:space="0" w:color="A6A6A6" w:themeColor="background1" w:themeShade="A6"/>
            </w:tcBorders>
            <w:vAlign w:val="center"/>
          </w:tcPr>
          <w:p w14:paraId="6A0C070A" w14:textId="24B02B0B" w:rsidR="00B87926" w:rsidRPr="00300220" w:rsidRDefault="00B87926" w:rsidP="00445C9F">
            <w:pPr>
              <w:spacing w:after="0" w:line="240" w:lineRule="auto"/>
              <w:rPr>
                <w:rFonts w:eastAsia="Times New Roman" w:cs="Arial"/>
                <w:color w:val="auto"/>
                <w:sz w:val="21"/>
                <w:szCs w:val="21"/>
              </w:rPr>
            </w:pPr>
            <w:r w:rsidRPr="00300220">
              <w:rPr>
                <w:sz w:val="21"/>
                <w:szCs w:val="21"/>
              </w:rPr>
              <w:t>Firefighters</w:t>
            </w:r>
          </w:p>
        </w:tc>
        <w:tc>
          <w:tcPr>
            <w:tcW w:w="1350" w:type="dxa"/>
            <w:tcBorders>
              <w:left w:val="single" w:sz="4" w:space="0" w:color="A6A6A6" w:themeColor="background1" w:themeShade="A6"/>
              <w:right w:val="single" w:sz="4" w:space="0" w:color="A6A6A6" w:themeColor="background1" w:themeShade="A6"/>
            </w:tcBorders>
            <w:vAlign w:val="center"/>
          </w:tcPr>
          <w:p w14:paraId="6E62E1F9" w14:textId="4FC56670" w:rsidR="00B87926" w:rsidRPr="00300220" w:rsidRDefault="00B87926" w:rsidP="00B87926">
            <w:pPr>
              <w:spacing w:after="0" w:line="240" w:lineRule="auto"/>
              <w:rPr>
                <w:sz w:val="21"/>
                <w:szCs w:val="21"/>
              </w:rPr>
            </w:pPr>
            <w:r>
              <w:rPr>
                <w:sz w:val="21"/>
                <w:szCs w:val="21"/>
              </w:rPr>
              <w:t>Bay Region</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A770A29" w14:textId="0B1FBB21" w:rsidR="00B87926" w:rsidRPr="00300220" w:rsidRDefault="00705F16" w:rsidP="00445C9F">
            <w:pPr>
              <w:spacing w:after="0" w:line="240" w:lineRule="auto"/>
              <w:jc w:val="right"/>
              <w:rPr>
                <w:rFonts w:eastAsia="Times New Roman" w:cs="Arial"/>
                <w:color w:val="auto"/>
                <w:sz w:val="21"/>
                <w:szCs w:val="21"/>
              </w:rPr>
            </w:pPr>
            <w:r>
              <w:rPr>
                <w:sz w:val="21"/>
                <w:szCs w:val="21"/>
              </w:rPr>
              <w:t>6,869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3CDA693" w14:textId="2BA76C7E" w:rsidR="00B87926" w:rsidRPr="00300220" w:rsidRDefault="00705F16" w:rsidP="00445C9F">
            <w:pPr>
              <w:spacing w:after="0" w:line="240" w:lineRule="auto"/>
              <w:jc w:val="right"/>
              <w:rPr>
                <w:rFonts w:eastAsia="Times New Roman" w:cs="Arial"/>
                <w:color w:val="auto"/>
                <w:sz w:val="21"/>
                <w:szCs w:val="21"/>
              </w:rPr>
            </w:pPr>
            <w:r>
              <w:rPr>
                <w:sz w:val="21"/>
                <w:szCs w:val="21"/>
              </w:rPr>
              <w:t>7,306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37C53E2" w14:textId="1C34F754" w:rsidR="00B87926" w:rsidRPr="00300220" w:rsidRDefault="00705F16" w:rsidP="00445C9F">
            <w:pPr>
              <w:spacing w:after="0" w:line="240" w:lineRule="auto"/>
              <w:jc w:val="right"/>
              <w:rPr>
                <w:rFonts w:eastAsia="Times New Roman" w:cs="Arial"/>
                <w:color w:val="auto"/>
                <w:sz w:val="21"/>
                <w:szCs w:val="21"/>
              </w:rPr>
            </w:pPr>
            <w:r>
              <w:rPr>
                <w:sz w:val="21"/>
                <w:szCs w:val="21"/>
              </w:rPr>
              <w:t>437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AACFF4" w14:textId="6BC77E3D" w:rsidR="00B87926" w:rsidRPr="00300220" w:rsidRDefault="00705F16" w:rsidP="00445C9F">
            <w:pPr>
              <w:spacing w:after="0" w:line="240" w:lineRule="auto"/>
              <w:jc w:val="right"/>
              <w:rPr>
                <w:rFonts w:eastAsia="Times New Roman" w:cs="Arial"/>
                <w:color w:val="auto"/>
                <w:sz w:val="21"/>
                <w:szCs w:val="21"/>
              </w:rPr>
            </w:pPr>
            <w:r>
              <w:rPr>
                <w:sz w:val="21"/>
                <w:szCs w:val="21"/>
              </w:rPr>
              <w:t>6</w:t>
            </w:r>
            <w:r w:rsidR="00B87926" w:rsidRPr="00300220">
              <w:rPr>
                <w:sz w:val="21"/>
                <w:szCs w:val="21"/>
              </w:rPr>
              <w:t>%</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AF8AF17" w14:textId="0CA23698" w:rsidR="00B87926" w:rsidRPr="00300220" w:rsidRDefault="00705F16" w:rsidP="00445C9F">
            <w:pPr>
              <w:spacing w:after="0" w:line="240" w:lineRule="auto"/>
              <w:jc w:val="right"/>
              <w:rPr>
                <w:rFonts w:eastAsia="Times New Roman" w:cs="Arial"/>
                <w:color w:val="auto"/>
                <w:sz w:val="21"/>
                <w:szCs w:val="21"/>
              </w:rPr>
            </w:pPr>
            <w:r>
              <w:rPr>
                <w:sz w:val="21"/>
                <w:szCs w:val="21"/>
              </w:rPr>
              <w:t>2,733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161CAF8" w14:textId="620DA757" w:rsidR="00B87926" w:rsidRPr="00300220" w:rsidRDefault="00705F16" w:rsidP="00445C9F">
            <w:pPr>
              <w:spacing w:after="0" w:line="240" w:lineRule="auto"/>
              <w:jc w:val="right"/>
              <w:rPr>
                <w:rFonts w:eastAsia="Times New Roman" w:cs="Arial"/>
                <w:color w:val="auto"/>
                <w:sz w:val="21"/>
                <w:szCs w:val="21"/>
              </w:rPr>
            </w:pPr>
            <w:r>
              <w:rPr>
                <w:sz w:val="21"/>
                <w:szCs w:val="21"/>
              </w:rPr>
              <w:t>547</w:t>
            </w:r>
          </w:p>
        </w:tc>
        <w:tc>
          <w:tcPr>
            <w:tcW w:w="900" w:type="dxa"/>
            <w:tcBorders>
              <w:left w:val="single" w:sz="4" w:space="0" w:color="A6A6A6" w:themeColor="background1" w:themeShade="A6"/>
              <w:right w:val="single" w:sz="4" w:space="0" w:color="A6A6A6" w:themeColor="background1" w:themeShade="A6"/>
            </w:tcBorders>
            <w:vAlign w:val="center"/>
          </w:tcPr>
          <w:p w14:paraId="1FB435C2" w14:textId="3A801BD6" w:rsidR="00B87926" w:rsidRPr="00300220" w:rsidRDefault="00B87926" w:rsidP="00445C9F">
            <w:pPr>
              <w:spacing w:after="0" w:line="240" w:lineRule="auto"/>
              <w:jc w:val="right"/>
              <w:rPr>
                <w:rFonts w:eastAsia="Times New Roman" w:cs="Arial"/>
                <w:color w:val="auto"/>
                <w:sz w:val="21"/>
                <w:szCs w:val="21"/>
              </w:rPr>
            </w:pPr>
            <w:r w:rsidRPr="00300220">
              <w:rPr>
                <w:sz w:val="21"/>
                <w:szCs w:val="21"/>
              </w:rPr>
              <w:t>$22.80</w:t>
            </w:r>
          </w:p>
        </w:tc>
        <w:tc>
          <w:tcPr>
            <w:tcW w:w="900" w:type="dxa"/>
            <w:tcBorders>
              <w:left w:val="single" w:sz="4" w:space="0" w:color="A6A6A6" w:themeColor="background1" w:themeShade="A6"/>
              <w:right w:val="single" w:sz="4" w:space="0" w:color="A6A6A6" w:themeColor="background1" w:themeShade="A6"/>
            </w:tcBorders>
            <w:vAlign w:val="center"/>
          </w:tcPr>
          <w:p w14:paraId="5F7F06A7" w14:textId="662CD4DE" w:rsidR="00B87926" w:rsidRPr="00300220" w:rsidRDefault="00B87926" w:rsidP="00445C9F">
            <w:pPr>
              <w:spacing w:after="0" w:line="240" w:lineRule="auto"/>
              <w:jc w:val="right"/>
              <w:rPr>
                <w:rFonts w:eastAsia="Times New Roman" w:cs="Arial"/>
                <w:color w:val="auto"/>
                <w:sz w:val="21"/>
                <w:szCs w:val="21"/>
              </w:rPr>
            </w:pPr>
            <w:r w:rsidRPr="00300220">
              <w:rPr>
                <w:sz w:val="21"/>
                <w:szCs w:val="21"/>
              </w:rPr>
              <w:t>$40.25</w:t>
            </w:r>
          </w:p>
        </w:tc>
      </w:tr>
      <w:tr w:rsidR="00705F16" w:rsidRPr="005E2EB4" w14:paraId="02C02596" w14:textId="77777777" w:rsidTr="00705F16">
        <w:trPr>
          <w:trHeight w:val="300"/>
        </w:trPr>
        <w:tc>
          <w:tcPr>
            <w:tcW w:w="1252" w:type="dxa"/>
            <w:tcBorders>
              <w:left w:val="single" w:sz="4" w:space="0" w:color="A6A6A6" w:themeColor="background1" w:themeShade="A6"/>
              <w:right w:val="single" w:sz="4" w:space="0" w:color="A6A6A6" w:themeColor="background1" w:themeShade="A6"/>
            </w:tcBorders>
            <w:vAlign w:val="center"/>
          </w:tcPr>
          <w:p w14:paraId="6A1AB9FD" w14:textId="07D526C4" w:rsidR="00705F16" w:rsidRPr="00300220" w:rsidRDefault="00705F16" w:rsidP="00705F16">
            <w:pPr>
              <w:spacing w:after="0" w:line="240" w:lineRule="auto"/>
              <w:rPr>
                <w:sz w:val="21"/>
                <w:szCs w:val="21"/>
              </w:rPr>
            </w:pPr>
            <w:r w:rsidRPr="00300220">
              <w:rPr>
                <w:sz w:val="21"/>
                <w:szCs w:val="21"/>
              </w:rPr>
              <w:t>Firefighters</w:t>
            </w:r>
          </w:p>
        </w:tc>
        <w:tc>
          <w:tcPr>
            <w:tcW w:w="1350" w:type="dxa"/>
            <w:tcBorders>
              <w:left w:val="single" w:sz="4" w:space="0" w:color="A6A6A6" w:themeColor="background1" w:themeShade="A6"/>
              <w:right w:val="single" w:sz="4" w:space="0" w:color="A6A6A6" w:themeColor="background1" w:themeShade="A6"/>
            </w:tcBorders>
            <w:vAlign w:val="center"/>
          </w:tcPr>
          <w:p w14:paraId="7C1E9FF8" w14:textId="04B6DADA" w:rsidR="00705F16" w:rsidRPr="00300220" w:rsidRDefault="00705F16" w:rsidP="00705F16">
            <w:pPr>
              <w:spacing w:after="0" w:line="240" w:lineRule="auto"/>
              <w:rPr>
                <w:sz w:val="21"/>
                <w:szCs w:val="21"/>
              </w:rPr>
            </w:pPr>
            <w:r>
              <w:rPr>
                <w:sz w:val="21"/>
                <w:szCs w:val="21"/>
              </w:rPr>
              <w:t xml:space="preserve">SC-Monterey </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5E208A" w14:textId="186DF777" w:rsidR="00705F16" w:rsidRPr="00705F16" w:rsidRDefault="00705F16" w:rsidP="00705F16">
            <w:pPr>
              <w:spacing w:after="0" w:line="240" w:lineRule="auto"/>
              <w:jc w:val="right"/>
              <w:rPr>
                <w:sz w:val="21"/>
                <w:szCs w:val="21"/>
              </w:rPr>
            </w:pPr>
            <w:r w:rsidRPr="00705F16">
              <w:rPr>
                <w:sz w:val="21"/>
                <w:szCs w:val="21"/>
              </w:rPr>
              <w:t>1,066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C130AC1" w14:textId="25A27719" w:rsidR="00705F16" w:rsidRPr="00705F16" w:rsidRDefault="00705F16" w:rsidP="00705F16">
            <w:pPr>
              <w:spacing w:after="0" w:line="240" w:lineRule="auto"/>
              <w:jc w:val="right"/>
              <w:rPr>
                <w:sz w:val="21"/>
                <w:szCs w:val="21"/>
              </w:rPr>
            </w:pPr>
            <w:r w:rsidRPr="00705F16">
              <w:rPr>
                <w:sz w:val="21"/>
                <w:szCs w:val="21"/>
              </w:rPr>
              <w:t>1,134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903F91" w14:textId="2BDBF14F" w:rsidR="00705F16" w:rsidRPr="00705F16" w:rsidRDefault="00705F16" w:rsidP="00705F16">
            <w:pPr>
              <w:spacing w:after="0" w:line="240" w:lineRule="auto"/>
              <w:jc w:val="right"/>
              <w:rPr>
                <w:color w:val="FF0000"/>
                <w:sz w:val="21"/>
                <w:szCs w:val="21"/>
              </w:rPr>
            </w:pPr>
            <w:r w:rsidRPr="00705F16">
              <w:rPr>
                <w:sz w:val="21"/>
                <w:szCs w:val="21"/>
              </w:rPr>
              <w:t>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5E37305" w14:textId="38FF9509" w:rsidR="00705F16" w:rsidRPr="00705F16" w:rsidRDefault="00705F16" w:rsidP="00705F16">
            <w:pPr>
              <w:spacing w:after="0" w:line="240" w:lineRule="auto"/>
              <w:jc w:val="right"/>
              <w:rPr>
                <w:color w:val="FF0000"/>
                <w:sz w:val="21"/>
                <w:szCs w:val="21"/>
              </w:rPr>
            </w:pPr>
            <w:r w:rsidRPr="00705F16">
              <w:rPr>
                <w:sz w:val="21"/>
                <w:szCs w:val="21"/>
              </w:rPr>
              <w:t>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1C05C62" w14:textId="25E619F4" w:rsidR="00705F16" w:rsidRPr="00705F16" w:rsidRDefault="00705F16" w:rsidP="00705F16">
            <w:pPr>
              <w:spacing w:after="0" w:line="240" w:lineRule="auto"/>
              <w:jc w:val="right"/>
              <w:rPr>
                <w:sz w:val="21"/>
                <w:szCs w:val="21"/>
              </w:rPr>
            </w:pPr>
            <w:r w:rsidRPr="00705F16">
              <w:rPr>
                <w:sz w:val="21"/>
                <w:szCs w:val="21"/>
              </w:rPr>
              <w:t>423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A50612" w14:textId="1555E3C3" w:rsidR="00705F16" w:rsidRPr="00705F16" w:rsidRDefault="00705F16" w:rsidP="00705F16">
            <w:pPr>
              <w:spacing w:after="0" w:line="240" w:lineRule="auto"/>
              <w:jc w:val="right"/>
              <w:rPr>
                <w:sz w:val="21"/>
                <w:szCs w:val="21"/>
              </w:rPr>
            </w:pPr>
            <w:r w:rsidRPr="00705F16">
              <w:rPr>
                <w:sz w:val="21"/>
                <w:szCs w:val="21"/>
              </w:rPr>
              <w:t>85</w:t>
            </w:r>
          </w:p>
        </w:tc>
        <w:tc>
          <w:tcPr>
            <w:tcW w:w="900" w:type="dxa"/>
            <w:tcBorders>
              <w:left w:val="single" w:sz="4" w:space="0" w:color="A6A6A6" w:themeColor="background1" w:themeShade="A6"/>
              <w:right w:val="single" w:sz="4" w:space="0" w:color="A6A6A6" w:themeColor="background1" w:themeShade="A6"/>
            </w:tcBorders>
            <w:vAlign w:val="center"/>
          </w:tcPr>
          <w:p w14:paraId="04E6E517" w14:textId="3B2ACC07" w:rsidR="00705F16" w:rsidRPr="00705F16" w:rsidRDefault="00705F16" w:rsidP="00705F16">
            <w:pPr>
              <w:spacing w:after="0" w:line="240" w:lineRule="auto"/>
              <w:jc w:val="right"/>
              <w:rPr>
                <w:sz w:val="21"/>
                <w:szCs w:val="21"/>
              </w:rPr>
            </w:pPr>
            <w:r w:rsidRPr="00705F16">
              <w:rPr>
                <w:sz w:val="21"/>
                <w:szCs w:val="21"/>
              </w:rPr>
              <w:t>$16.56</w:t>
            </w:r>
          </w:p>
        </w:tc>
        <w:tc>
          <w:tcPr>
            <w:tcW w:w="900" w:type="dxa"/>
            <w:tcBorders>
              <w:left w:val="single" w:sz="4" w:space="0" w:color="A6A6A6" w:themeColor="background1" w:themeShade="A6"/>
              <w:right w:val="single" w:sz="4" w:space="0" w:color="A6A6A6" w:themeColor="background1" w:themeShade="A6"/>
            </w:tcBorders>
            <w:vAlign w:val="center"/>
          </w:tcPr>
          <w:p w14:paraId="28EF6345" w14:textId="3CC22678" w:rsidR="00705F16" w:rsidRPr="00705F16" w:rsidRDefault="00705F16" w:rsidP="00705F16">
            <w:pPr>
              <w:spacing w:after="0" w:line="240" w:lineRule="auto"/>
              <w:jc w:val="right"/>
              <w:rPr>
                <w:sz w:val="21"/>
                <w:szCs w:val="21"/>
              </w:rPr>
            </w:pPr>
            <w:r w:rsidRPr="00705F16">
              <w:rPr>
                <w:sz w:val="21"/>
                <w:szCs w:val="21"/>
              </w:rPr>
              <w:t>$28.18</w:t>
            </w:r>
          </w:p>
        </w:tc>
      </w:tr>
    </w:tbl>
    <w:p w14:paraId="261390ED" w14:textId="081AD923" w:rsidR="001459D8" w:rsidRDefault="00B87926" w:rsidP="00B87926">
      <w:pPr>
        <w:spacing w:after="0" w:line="240" w:lineRule="auto"/>
        <w:ind w:left="144"/>
        <w:rPr>
          <w:sz w:val="20"/>
          <w:szCs w:val="20"/>
        </w:rPr>
      </w:pPr>
      <w:r>
        <w:rPr>
          <w:i/>
          <w:sz w:val="20"/>
          <w:szCs w:val="20"/>
        </w:rPr>
        <w:t>Source: EMSI 2017.4</w:t>
      </w:r>
      <w:r w:rsidR="00070CD8">
        <w:rPr>
          <w:i/>
          <w:sz w:val="20"/>
          <w:szCs w:val="20"/>
        </w:rPr>
        <w:br/>
      </w:r>
      <w:r w:rsidR="00070CD8" w:rsidRPr="00E5330C">
        <w:rPr>
          <w:b/>
          <w:sz w:val="20"/>
          <w:szCs w:val="20"/>
        </w:rPr>
        <w:t>Bay Region</w:t>
      </w:r>
      <w:r w:rsidR="00070CD8" w:rsidRPr="00070CD8">
        <w:rPr>
          <w:sz w:val="20"/>
          <w:szCs w:val="20"/>
        </w:rPr>
        <w:t xml:space="preserve"> includes Alameda, Contra Costa, Marin, Monterey, Napa, San Benito, San Francisco, San Mateo, Santa Clara, Santa Cruz, </w:t>
      </w:r>
      <w:r w:rsidR="001D11AB">
        <w:rPr>
          <w:sz w:val="20"/>
          <w:szCs w:val="20"/>
        </w:rPr>
        <w:t>Solano</w:t>
      </w:r>
      <w:r w:rsidR="00070CD8" w:rsidRPr="00070CD8">
        <w:rPr>
          <w:sz w:val="20"/>
          <w:szCs w:val="20"/>
        </w:rPr>
        <w:t xml:space="preserve"> and Sonoma Counties</w:t>
      </w:r>
    </w:p>
    <w:p w14:paraId="5D5E530C" w14:textId="06A4DEF6" w:rsidR="0079703F" w:rsidRPr="0079703F" w:rsidRDefault="004053F3" w:rsidP="0079703F">
      <w:pPr>
        <w:spacing w:after="0" w:line="240" w:lineRule="auto"/>
        <w:ind w:left="144"/>
        <w:rPr>
          <w:sz w:val="20"/>
          <w:szCs w:val="20"/>
        </w:rPr>
      </w:pPr>
      <w:r>
        <w:rPr>
          <w:b/>
          <w:sz w:val="20"/>
          <w:szCs w:val="20"/>
        </w:rPr>
        <w:t>SC-Monterey Sub-</w:t>
      </w:r>
      <w:r w:rsidRPr="00E5330C">
        <w:rPr>
          <w:b/>
          <w:sz w:val="20"/>
          <w:szCs w:val="20"/>
        </w:rPr>
        <w:t>Region</w:t>
      </w:r>
      <w:r w:rsidRPr="00070CD8">
        <w:rPr>
          <w:sz w:val="20"/>
          <w:szCs w:val="20"/>
        </w:rPr>
        <w:t xml:space="preserve"> includes Monterey, San Benito, </w:t>
      </w:r>
      <w:r>
        <w:rPr>
          <w:sz w:val="20"/>
          <w:szCs w:val="20"/>
        </w:rPr>
        <w:t xml:space="preserve">and Santa Cruz </w:t>
      </w:r>
      <w:r w:rsidRPr="00070CD8">
        <w:rPr>
          <w:sz w:val="20"/>
          <w:szCs w:val="20"/>
        </w:rPr>
        <w:t>Counties</w:t>
      </w:r>
      <w:r w:rsidR="00A56CE1">
        <w:br w:type="page"/>
      </w:r>
    </w:p>
    <w:p w14:paraId="0AE063B8" w14:textId="7E0A308C" w:rsidR="0079703F" w:rsidRPr="0079703F" w:rsidRDefault="002155A4" w:rsidP="0079703F">
      <w:pPr>
        <w:pStyle w:val="Heading3"/>
        <w:rPr>
          <w:sz w:val="18"/>
        </w:rPr>
      </w:pPr>
      <w:r w:rsidRPr="00552133">
        <w:lastRenderedPageBreak/>
        <w:t xml:space="preserve">Job Postings in </w:t>
      </w:r>
      <w:r w:rsidR="009857B9">
        <w:t xml:space="preserve">Bay Region and </w:t>
      </w:r>
      <w:r w:rsidR="009074B9">
        <w:t>SC-Monterey</w:t>
      </w:r>
      <w:r w:rsidR="009857B9">
        <w:t xml:space="preserve"> Sub-Region</w:t>
      </w:r>
    </w:p>
    <w:p w14:paraId="7F7392B5" w14:textId="56C625CB" w:rsidR="002155A4" w:rsidRPr="00552133" w:rsidRDefault="00B87926" w:rsidP="002155A4">
      <w:pPr>
        <w:pStyle w:val="NoSpacing"/>
        <w:spacing w:after="120"/>
        <w:rPr>
          <w:b/>
        </w:rPr>
      </w:pPr>
      <w:r>
        <w:rPr>
          <w:b/>
        </w:rPr>
        <w:t>Table 2</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for latest 12 months (</w:t>
      </w:r>
      <w:r w:rsidR="0096674A">
        <w:rPr>
          <w:b/>
        </w:rPr>
        <w:t>Feb 2017 – Jan</w:t>
      </w:r>
      <w:r w:rsidR="009074B9">
        <w:rPr>
          <w:b/>
        </w:rPr>
        <w:t xml:space="preserve"> 2018</w:t>
      </w:r>
      <w:r w:rsidR="00165174">
        <w:rPr>
          <w:b/>
        </w:rPr>
        <w:t>)</w:t>
      </w:r>
    </w:p>
    <w:tbl>
      <w:tblPr>
        <w:tblW w:w="638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02"/>
        <w:gridCol w:w="1350"/>
        <w:gridCol w:w="1530"/>
      </w:tblGrid>
      <w:tr w:rsidR="002155A4" w:rsidRPr="008409A0" w14:paraId="722B3D04" w14:textId="77777777" w:rsidTr="00D8494B">
        <w:trPr>
          <w:trHeight w:val="251"/>
        </w:trPr>
        <w:tc>
          <w:tcPr>
            <w:tcW w:w="3502" w:type="dxa"/>
            <w:tcBorders>
              <w:bottom w:val="single" w:sz="4" w:space="0" w:color="BFBFBF" w:themeColor="background1" w:themeShade="BF"/>
            </w:tcBorders>
            <w:shd w:val="clear" w:color="auto" w:fill="A9A9A9" w:themeFill="accent5"/>
            <w:noWrap/>
            <w:vAlign w:val="center"/>
            <w:hideMark/>
          </w:tcPr>
          <w:p w14:paraId="0FD02B62" w14:textId="77777777" w:rsidR="002155A4" w:rsidRPr="008409A0" w:rsidRDefault="002155A4" w:rsidP="008A05B1">
            <w:pPr>
              <w:spacing w:after="0" w:line="240" w:lineRule="auto"/>
              <w:rPr>
                <w:rFonts w:eastAsia="Times New Roman"/>
              </w:rPr>
            </w:pPr>
            <w:r w:rsidRPr="008409A0">
              <w:rPr>
                <w:rFonts w:eastAsia="Times New Roman"/>
              </w:rPr>
              <w:t>Occupation</w:t>
            </w:r>
          </w:p>
        </w:tc>
        <w:tc>
          <w:tcPr>
            <w:tcW w:w="1350" w:type="dxa"/>
            <w:tcBorders>
              <w:bottom w:val="single" w:sz="4" w:space="0" w:color="BFBFBF" w:themeColor="background1" w:themeShade="BF"/>
            </w:tcBorders>
            <w:shd w:val="clear" w:color="auto" w:fill="A6A6A6" w:themeFill="background1" w:themeFillShade="A6"/>
            <w:noWrap/>
            <w:vAlign w:val="center"/>
            <w:hideMark/>
          </w:tcPr>
          <w:p w14:paraId="401D0B5E" w14:textId="197818BE" w:rsidR="002155A4" w:rsidRPr="008409A0" w:rsidRDefault="00165174" w:rsidP="008A05B1">
            <w:pPr>
              <w:spacing w:after="0" w:line="240" w:lineRule="auto"/>
              <w:jc w:val="center"/>
              <w:rPr>
                <w:rFonts w:eastAsia="Times New Roman"/>
              </w:rPr>
            </w:pPr>
            <w:r>
              <w:rPr>
                <w:rFonts w:eastAsia="Times New Roman"/>
              </w:rPr>
              <w:t>Bay Region</w:t>
            </w:r>
          </w:p>
        </w:tc>
        <w:tc>
          <w:tcPr>
            <w:tcW w:w="1530" w:type="dxa"/>
            <w:tcBorders>
              <w:bottom w:val="single" w:sz="4" w:space="0" w:color="BFBFBF" w:themeColor="background1" w:themeShade="BF"/>
            </w:tcBorders>
            <w:shd w:val="clear" w:color="auto" w:fill="A6A6A6" w:themeFill="background1" w:themeFillShade="A6"/>
            <w:vAlign w:val="center"/>
          </w:tcPr>
          <w:p w14:paraId="3549FAE7" w14:textId="4EE66E3E" w:rsidR="002155A4" w:rsidRPr="008409A0" w:rsidRDefault="00D8494B" w:rsidP="008A05B1">
            <w:pPr>
              <w:spacing w:after="0" w:line="240" w:lineRule="auto"/>
              <w:jc w:val="center"/>
              <w:rPr>
                <w:rFonts w:eastAsia="Times New Roman"/>
              </w:rPr>
            </w:pPr>
            <w:r>
              <w:rPr>
                <w:rFonts w:eastAsia="Times New Roman"/>
              </w:rPr>
              <w:t>SC-Monterey</w:t>
            </w:r>
          </w:p>
        </w:tc>
      </w:tr>
      <w:tr w:rsidR="005F445F" w:rsidRPr="00C035EC" w14:paraId="5CEFB339" w14:textId="77777777" w:rsidTr="00D8494B">
        <w:trPr>
          <w:trHeight w:val="206"/>
        </w:trPr>
        <w:tc>
          <w:tcPr>
            <w:tcW w:w="3502" w:type="dxa"/>
            <w:tcBorders>
              <w:left w:val="nil"/>
              <w:right w:val="nil"/>
            </w:tcBorders>
            <w:shd w:val="clear" w:color="auto" w:fill="auto"/>
            <w:noWrap/>
            <w:vAlign w:val="center"/>
          </w:tcPr>
          <w:p w14:paraId="52DA0D8B" w14:textId="113CDB51" w:rsidR="005F445F" w:rsidRPr="001459D8" w:rsidRDefault="005F445F" w:rsidP="005F445F">
            <w:pPr>
              <w:spacing w:after="0" w:line="240" w:lineRule="auto"/>
              <w:rPr>
                <w:rFonts w:eastAsia="Times New Roman"/>
              </w:rPr>
            </w:pPr>
            <w:r w:rsidRPr="00997E56">
              <w:t>Municipal Firefighters (33-2011.01)</w:t>
            </w:r>
          </w:p>
        </w:tc>
        <w:tc>
          <w:tcPr>
            <w:tcW w:w="1350" w:type="dxa"/>
            <w:tcBorders>
              <w:left w:val="nil"/>
              <w:right w:val="nil"/>
            </w:tcBorders>
            <w:shd w:val="clear" w:color="auto" w:fill="auto"/>
            <w:noWrap/>
            <w:vAlign w:val="center"/>
          </w:tcPr>
          <w:p w14:paraId="124664B7" w14:textId="20659948" w:rsidR="005F445F" w:rsidRDefault="00D8494B" w:rsidP="005F445F">
            <w:pPr>
              <w:spacing w:after="0" w:line="240" w:lineRule="auto"/>
              <w:jc w:val="center"/>
              <w:rPr>
                <w:rFonts w:eastAsia="Times New Roman"/>
              </w:rPr>
            </w:pPr>
            <w:r>
              <w:t>54</w:t>
            </w:r>
          </w:p>
        </w:tc>
        <w:tc>
          <w:tcPr>
            <w:tcW w:w="1530" w:type="dxa"/>
            <w:tcBorders>
              <w:left w:val="nil"/>
              <w:right w:val="nil"/>
            </w:tcBorders>
            <w:vAlign w:val="center"/>
          </w:tcPr>
          <w:p w14:paraId="31928471" w14:textId="02754463" w:rsidR="005F445F" w:rsidRDefault="007C1B24" w:rsidP="005F445F">
            <w:pPr>
              <w:spacing w:after="0" w:line="240" w:lineRule="auto"/>
              <w:jc w:val="center"/>
              <w:rPr>
                <w:rFonts w:eastAsia="Times New Roman"/>
              </w:rPr>
            </w:pPr>
            <w:r>
              <w:rPr>
                <w:rFonts w:eastAsia="Times New Roman"/>
              </w:rPr>
              <w:t>6</w:t>
            </w:r>
          </w:p>
        </w:tc>
      </w:tr>
      <w:tr w:rsidR="005F445F" w:rsidRPr="00C035EC" w14:paraId="7B47FEC0" w14:textId="77777777" w:rsidTr="00D8494B">
        <w:trPr>
          <w:trHeight w:val="288"/>
        </w:trPr>
        <w:tc>
          <w:tcPr>
            <w:tcW w:w="3502" w:type="dxa"/>
            <w:tcBorders>
              <w:left w:val="nil"/>
              <w:right w:val="nil"/>
            </w:tcBorders>
            <w:shd w:val="clear" w:color="auto" w:fill="auto"/>
            <w:noWrap/>
            <w:vAlign w:val="center"/>
          </w:tcPr>
          <w:p w14:paraId="2A2AD6E6" w14:textId="2DE82B3B" w:rsidR="005F445F" w:rsidRPr="00941B00" w:rsidRDefault="005F445F" w:rsidP="005F445F">
            <w:pPr>
              <w:spacing w:after="0" w:line="240" w:lineRule="auto"/>
            </w:pPr>
            <w:r w:rsidRPr="00997E56">
              <w:t>Forest Firefighters (33-2011.02)</w:t>
            </w:r>
          </w:p>
        </w:tc>
        <w:tc>
          <w:tcPr>
            <w:tcW w:w="1350" w:type="dxa"/>
            <w:tcBorders>
              <w:left w:val="nil"/>
              <w:right w:val="nil"/>
            </w:tcBorders>
            <w:shd w:val="clear" w:color="auto" w:fill="auto"/>
            <w:noWrap/>
            <w:vAlign w:val="center"/>
          </w:tcPr>
          <w:p w14:paraId="4882EF79" w14:textId="7DDBD152" w:rsidR="005F445F" w:rsidRDefault="00D8494B" w:rsidP="005F445F">
            <w:pPr>
              <w:spacing w:after="0" w:line="240" w:lineRule="auto"/>
              <w:jc w:val="center"/>
              <w:rPr>
                <w:rFonts w:eastAsia="Times New Roman"/>
              </w:rPr>
            </w:pPr>
            <w:r>
              <w:t>8</w:t>
            </w:r>
          </w:p>
        </w:tc>
        <w:tc>
          <w:tcPr>
            <w:tcW w:w="1530" w:type="dxa"/>
            <w:tcBorders>
              <w:left w:val="nil"/>
              <w:right w:val="nil"/>
            </w:tcBorders>
            <w:vAlign w:val="center"/>
          </w:tcPr>
          <w:p w14:paraId="6229DE74" w14:textId="1E729FE4" w:rsidR="005F445F" w:rsidRPr="008E34D6" w:rsidRDefault="007C1B24" w:rsidP="005F445F">
            <w:pPr>
              <w:spacing w:after="0" w:line="240" w:lineRule="auto"/>
              <w:jc w:val="center"/>
            </w:pPr>
            <w:r>
              <w:t>0</w:t>
            </w:r>
          </w:p>
        </w:tc>
      </w:tr>
      <w:tr w:rsidR="001459D8" w:rsidRPr="00C035EC" w14:paraId="17FEE508" w14:textId="77777777" w:rsidTr="00D8494B">
        <w:trPr>
          <w:trHeight w:val="188"/>
        </w:trPr>
        <w:tc>
          <w:tcPr>
            <w:tcW w:w="3502" w:type="dxa"/>
            <w:tcBorders>
              <w:left w:val="nil"/>
              <w:right w:val="nil"/>
            </w:tcBorders>
            <w:shd w:val="clear" w:color="auto" w:fill="auto"/>
            <w:noWrap/>
            <w:vAlign w:val="center"/>
          </w:tcPr>
          <w:p w14:paraId="0C80BA3E" w14:textId="5065113E" w:rsidR="001459D8" w:rsidRPr="001459D8" w:rsidRDefault="001459D8" w:rsidP="00193BC4">
            <w:pPr>
              <w:spacing w:after="0" w:line="240" w:lineRule="auto"/>
              <w:rPr>
                <w:rFonts w:eastAsia="Times New Roman"/>
                <w:b/>
              </w:rPr>
            </w:pPr>
            <w:r w:rsidRPr="001459D8">
              <w:rPr>
                <w:rFonts w:eastAsia="Times New Roman"/>
                <w:b/>
              </w:rPr>
              <w:t>Total</w:t>
            </w:r>
          </w:p>
        </w:tc>
        <w:tc>
          <w:tcPr>
            <w:tcW w:w="1350" w:type="dxa"/>
            <w:tcBorders>
              <w:left w:val="nil"/>
              <w:right w:val="nil"/>
            </w:tcBorders>
            <w:shd w:val="clear" w:color="auto" w:fill="auto"/>
            <w:noWrap/>
            <w:vAlign w:val="center"/>
          </w:tcPr>
          <w:p w14:paraId="41758D27" w14:textId="456F1ACA" w:rsidR="001459D8" w:rsidRPr="001459D8" w:rsidRDefault="00D8494B" w:rsidP="001459D8">
            <w:pPr>
              <w:spacing w:after="0" w:line="240" w:lineRule="auto"/>
              <w:jc w:val="center"/>
              <w:rPr>
                <w:rFonts w:eastAsia="Times New Roman"/>
                <w:b/>
              </w:rPr>
            </w:pPr>
            <w:r>
              <w:rPr>
                <w:rFonts w:eastAsia="Times New Roman"/>
                <w:b/>
              </w:rPr>
              <w:t>62</w:t>
            </w:r>
          </w:p>
        </w:tc>
        <w:tc>
          <w:tcPr>
            <w:tcW w:w="1530" w:type="dxa"/>
            <w:tcBorders>
              <w:left w:val="nil"/>
              <w:right w:val="nil"/>
            </w:tcBorders>
            <w:vAlign w:val="center"/>
          </w:tcPr>
          <w:p w14:paraId="55B4E696" w14:textId="4F6CAD00" w:rsidR="001459D8" w:rsidRPr="001459D8" w:rsidRDefault="007C1B24" w:rsidP="001459D8">
            <w:pPr>
              <w:spacing w:after="0" w:line="240" w:lineRule="auto"/>
              <w:jc w:val="center"/>
              <w:rPr>
                <w:rFonts w:eastAsia="Times New Roman"/>
                <w:b/>
              </w:rPr>
            </w:pPr>
            <w:r>
              <w:rPr>
                <w:rFonts w:eastAsia="Times New Roman"/>
                <w:b/>
              </w:rPr>
              <w:t>6</w:t>
            </w:r>
          </w:p>
        </w:tc>
      </w:tr>
    </w:tbl>
    <w:p w14:paraId="30962AE7" w14:textId="77777777" w:rsidR="00750FFE" w:rsidRPr="00750FFE" w:rsidRDefault="00750FFE" w:rsidP="005A7931">
      <w:pPr>
        <w:pStyle w:val="NoSpacing"/>
        <w:spacing w:after="240"/>
        <w:ind w:left="144"/>
        <w:rPr>
          <w:i/>
          <w:sz w:val="20"/>
          <w:szCs w:val="20"/>
        </w:rPr>
      </w:pPr>
      <w:r w:rsidRPr="00750FFE">
        <w:rPr>
          <w:i/>
          <w:sz w:val="20"/>
          <w:szCs w:val="20"/>
        </w:rPr>
        <w:t>Source: Burning Glass</w:t>
      </w:r>
    </w:p>
    <w:p w14:paraId="4B03BC9F" w14:textId="065A396C" w:rsidR="002155A4" w:rsidRDefault="00B87926" w:rsidP="002155A4">
      <w:pPr>
        <w:pStyle w:val="NoSpacing"/>
        <w:spacing w:after="120"/>
        <w:rPr>
          <w:b/>
        </w:rPr>
      </w:pPr>
      <w:r>
        <w:rPr>
          <w:b/>
        </w:rPr>
        <w:t>Table 3</w:t>
      </w:r>
      <w:r w:rsidR="002155A4" w:rsidRPr="00552133">
        <w:rPr>
          <w:b/>
        </w:rPr>
        <w:t xml:space="preserve">. Top Job Titles </w:t>
      </w:r>
      <w:r w:rsidR="00750FFE">
        <w:rPr>
          <w:b/>
        </w:rPr>
        <w:t xml:space="preserve">for </w:t>
      </w:r>
      <w:r w:rsidR="00D8494B">
        <w:rPr>
          <w:b/>
        </w:rPr>
        <w:t>Firefighters</w:t>
      </w:r>
      <w:r w:rsidR="006E2B6C">
        <w:rPr>
          <w:b/>
        </w:rPr>
        <w:t xml:space="preserve"> for latest 12 months </w:t>
      </w:r>
      <w:r w:rsidR="0096674A">
        <w:rPr>
          <w:b/>
        </w:rPr>
        <w:t xml:space="preserve">(Feb 2017 – Jan </w:t>
      </w:r>
      <w:r w:rsidR="00D8494B">
        <w:rPr>
          <w:b/>
        </w:rPr>
        <w:t>2018)</w:t>
      </w:r>
    </w:p>
    <w:tbl>
      <w:tblPr>
        <w:tblW w:w="971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1977"/>
        <w:gridCol w:w="1260"/>
        <w:gridCol w:w="1620"/>
        <w:gridCol w:w="1620"/>
        <w:gridCol w:w="1620"/>
        <w:gridCol w:w="1620"/>
      </w:tblGrid>
      <w:tr w:rsidR="00A56CE1" w:rsidRPr="008409A0" w14:paraId="4F94B1D0" w14:textId="2D4B9199" w:rsidTr="00CC5762">
        <w:trPr>
          <w:trHeight w:val="360"/>
        </w:trPr>
        <w:tc>
          <w:tcPr>
            <w:tcW w:w="1977" w:type="dxa"/>
            <w:shd w:val="clear" w:color="auto" w:fill="717E10" w:themeFill="accent3"/>
            <w:noWrap/>
            <w:vAlign w:val="center"/>
            <w:hideMark/>
          </w:tcPr>
          <w:p w14:paraId="014A3296" w14:textId="77777777" w:rsidR="00A56CE1" w:rsidRPr="008409A0" w:rsidRDefault="00A56CE1" w:rsidP="00A56CE1">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260" w:type="dxa"/>
            <w:shd w:val="clear" w:color="auto" w:fill="717E10" w:themeFill="accent3"/>
            <w:noWrap/>
            <w:vAlign w:val="center"/>
            <w:hideMark/>
          </w:tcPr>
          <w:p w14:paraId="1683556C" w14:textId="77777777" w:rsidR="00A56CE1" w:rsidRPr="008409A0" w:rsidRDefault="00A56CE1" w:rsidP="00A56CE1">
            <w:pPr>
              <w:spacing w:after="0" w:line="240" w:lineRule="auto"/>
              <w:jc w:val="center"/>
              <w:rPr>
                <w:rFonts w:eastAsia="Times New Roman"/>
                <w:color w:val="FFFFFF" w:themeColor="background1"/>
              </w:rPr>
            </w:pPr>
            <w:r>
              <w:rPr>
                <w:rFonts w:eastAsia="Times New Roman"/>
                <w:color w:val="FFFFFF" w:themeColor="background1"/>
              </w:rPr>
              <w:t>Bay Region</w:t>
            </w:r>
          </w:p>
        </w:tc>
        <w:tc>
          <w:tcPr>
            <w:tcW w:w="1620" w:type="dxa"/>
            <w:shd w:val="clear" w:color="auto" w:fill="717E10" w:themeFill="accent3"/>
            <w:vAlign w:val="center"/>
          </w:tcPr>
          <w:p w14:paraId="4770DB2A" w14:textId="090B340C" w:rsidR="00A56CE1" w:rsidRDefault="00A56CE1" w:rsidP="00A56CE1">
            <w:pPr>
              <w:spacing w:after="0" w:line="240" w:lineRule="auto"/>
              <w:jc w:val="center"/>
              <w:rPr>
                <w:rFonts w:eastAsia="Times New Roman"/>
                <w:color w:val="FFFFFF" w:themeColor="background1"/>
              </w:rPr>
            </w:pPr>
            <w:r>
              <w:rPr>
                <w:rFonts w:eastAsia="Times New Roman"/>
                <w:color w:val="FFFFFF" w:themeColor="background1"/>
              </w:rPr>
              <w:t>SC-Monterey</w:t>
            </w:r>
          </w:p>
        </w:tc>
        <w:tc>
          <w:tcPr>
            <w:tcW w:w="1620" w:type="dxa"/>
            <w:shd w:val="clear" w:color="auto" w:fill="717E10" w:themeFill="accent3"/>
            <w:vAlign w:val="center"/>
          </w:tcPr>
          <w:p w14:paraId="1251C2B8" w14:textId="070AFB34" w:rsidR="00A56CE1" w:rsidRDefault="00A56CE1" w:rsidP="00A56CE1">
            <w:pPr>
              <w:spacing w:after="0" w:line="240" w:lineRule="auto"/>
              <w:jc w:val="center"/>
              <w:rPr>
                <w:rFonts w:eastAsia="Times New Roman"/>
                <w:color w:val="FFFFFF" w:themeColor="background1"/>
              </w:rPr>
            </w:pPr>
            <w:r w:rsidRPr="008409A0">
              <w:rPr>
                <w:rFonts w:eastAsia="Times New Roman"/>
                <w:color w:val="FFFFFF" w:themeColor="background1"/>
              </w:rPr>
              <w:t>Common Title</w:t>
            </w:r>
          </w:p>
        </w:tc>
        <w:tc>
          <w:tcPr>
            <w:tcW w:w="1620" w:type="dxa"/>
            <w:shd w:val="clear" w:color="auto" w:fill="717E10" w:themeFill="accent3"/>
            <w:vAlign w:val="center"/>
          </w:tcPr>
          <w:p w14:paraId="317F4E59" w14:textId="4B53B65B" w:rsidR="00A56CE1" w:rsidRDefault="00A56CE1" w:rsidP="00A56CE1">
            <w:pPr>
              <w:spacing w:after="0" w:line="240" w:lineRule="auto"/>
              <w:jc w:val="center"/>
              <w:rPr>
                <w:rFonts w:eastAsia="Times New Roman"/>
                <w:color w:val="FFFFFF" w:themeColor="background1"/>
              </w:rPr>
            </w:pPr>
            <w:r>
              <w:rPr>
                <w:rFonts w:eastAsia="Times New Roman"/>
                <w:color w:val="FFFFFF" w:themeColor="background1"/>
              </w:rPr>
              <w:t>Bay Region</w:t>
            </w:r>
          </w:p>
        </w:tc>
        <w:tc>
          <w:tcPr>
            <w:tcW w:w="1620" w:type="dxa"/>
            <w:shd w:val="clear" w:color="auto" w:fill="717E10" w:themeFill="accent3"/>
            <w:vAlign w:val="center"/>
          </w:tcPr>
          <w:p w14:paraId="471D6F07" w14:textId="6587B14D" w:rsidR="00A56CE1" w:rsidRDefault="00A56CE1" w:rsidP="00A56CE1">
            <w:pPr>
              <w:spacing w:after="0" w:line="240" w:lineRule="auto"/>
              <w:jc w:val="center"/>
              <w:rPr>
                <w:rFonts w:eastAsia="Times New Roman"/>
                <w:color w:val="FFFFFF" w:themeColor="background1"/>
              </w:rPr>
            </w:pPr>
            <w:r>
              <w:rPr>
                <w:rFonts w:eastAsia="Times New Roman"/>
                <w:color w:val="FFFFFF" w:themeColor="background1"/>
              </w:rPr>
              <w:t>SC-Monterey</w:t>
            </w:r>
          </w:p>
        </w:tc>
      </w:tr>
      <w:tr w:rsidR="00A56CE1" w:rsidRPr="00C035EC" w14:paraId="4C4DE574" w14:textId="4F392E38" w:rsidTr="0045714D">
        <w:trPr>
          <w:trHeight w:val="305"/>
        </w:trPr>
        <w:tc>
          <w:tcPr>
            <w:tcW w:w="1977" w:type="dxa"/>
            <w:shd w:val="clear" w:color="auto" w:fill="auto"/>
            <w:noWrap/>
            <w:vAlign w:val="center"/>
          </w:tcPr>
          <w:p w14:paraId="167648BD" w14:textId="30875C6E" w:rsidR="00A56CE1" w:rsidRPr="00C035EC" w:rsidRDefault="00A56CE1" w:rsidP="00A56CE1">
            <w:pPr>
              <w:spacing w:after="0" w:line="240" w:lineRule="auto"/>
              <w:rPr>
                <w:rFonts w:eastAsia="Times New Roman"/>
              </w:rPr>
            </w:pPr>
            <w:r>
              <w:t>Firefighter</w:t>
            </w:r>
          </w:p>
        </w:tc>
        <w:tc>
          <w:tcPr>
            <w:tcW w:w="1260" w:type="dxa"/>
            <w:shd w:val="clear" w:color="auto" w:fill="auto"/>
            <w:noWrap/>
            <w:vAlign w:val="center"/>
          </w:tcPr>
          <w:p w14:paraId="52D13BC6" w14:textId="4AA858A9" w:rsidR="00A56CE1" w:rsidRPr="00C035EC" w:rsidRDefault="00A56CE1" w:rsidP="00A56CE1">
            <w:pPr>
              <w:spacing w:after="0" w:line="240" w:lineRule="auto"/>
              <w:jc w:val="center"/>
              <w:rPr>
                <w:rFonts w:eastAsia="Times New Roman"/>
              </w:rPr>
            </w:pPr>
            <w:r>
              <w:rPr>
                <w:rFonts w:eastAsia="Times New Roman"/>
              </w:rPr>
              <w:t>38</w:t>
            </w:r>
          </w:p>
        </w:tc>
        <w:tc>
          <w:tcPr>
            <w:tcW w:w="1620" w:type="dxa"/>
            <w:vAlign w:val="center"/>
          </w:tcPr>
          <w:p w14:paraId="3FEEEEDA" w14:textId="3ECFD310" w:rsidR="00A56CE1" w:rsidRDefault="00A56CE1" w:rsidP="00A56CE1">
            <w:pPr>
              <w:spacing w:after="0" w:line="240" w:lineRule="auto"/>
              <w:jc w:val="center"/>
              <w:rPr>
                <w:rFonts w:eastAsia="Times New Roman"/>
              </w:rPr>
            </w:pPr>
            <w:r>
              <w:rPr>
                <w:rFonts w:eastAsia="Times New Roman"/>
              </w:rPr>
              <w:t>5</w:t>
            </w:r>
          </w:p>
        </w:tc>
        <w:tc>
          <w:tcPr>
            <w:tcW w:w="1620" w:type="dxa"/>
            <w:vAlign w:val="center"/>
          </w:tcPr>
          <w:p w14:paraId="713EC7CD" w14:textId="70E2B279" w:rsidR="00A56CE1" w:rsidRDefault="00A56CE1" w:rsidP="00A56CE1">
            <w:pPr>
              <w:spacing w:after="0" w:line="240" w:lineRule="auto"/>
              <w:jc w:val="center"/>
              <w:rPr>
                <w:rFonts w:eastAsia="Times New Roman"/>
              </w:rPr>
            </w:pPr>
            <w:r>
              <w:t>Fire Technician</w:t>
            </w:r>
          </w:p>
        </w:tc>
        <w:tc>
          <w:tcPr>
            <w:tcW w:w="1620" w:type="dxa"/>
            <w:vAlign w:val="center"/>
          </w:tcPr>
          <w:p w14:paraId="6021D019" w14:textId="43E5B17C" w:rsidR="00A56CE1" w:rsidRDefault="00A56CE1" w:rsidP="00A56CE1">
            <w:pPr>
              <w:spacing w:after="0" w:line="240" w:lineRule="auto"/>
              <w:jc w:val="center"/>
              <w:rPr>
                <w:rFonts w:eastAsia="Times New Roman"/>
              </w:rPr>
            </w:pPr>
            <w:r>
              <w:t>4</w:t>
            </w:r>
          </w:p>
        </w:tc>
        <w:tc>
          <w:tcPr>
            <w:tcW w:w="1620" w:type="dxa"/>
            <w:vAlign w:val="center"/>
          </w:tcPr>
          <w:p w14:paraId="5FAEE98B" w14:textId="5DD6C0AE" w:rsidR="00A56CE1" w:rsidRDefault="00A56CE1" w:rsidP="00A56CE1">
            <w:pPr>
              <w:spacing w:after="0" w:line="240" w:lineRule="auto"/>
              <w:jc w:val="center"/>
              <w:rPr>
                <w:rFonts w:eastAsia="Times New Roman"/>
              </w:rPr>
            </w:pPr>
            <w:r>
              <w:t>0</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0CDAB9C1" w:rsidR="002155A4" w:rsidRDefault="002155A4" w:rsidP="002155A4">
      <w:pPr>
        <w:pStyle w:val="Heading1"/>
      </w:pPr>
      <w:r>
        <w:t>Industry Concentration</w:t>
      </w:r>
    </w:p>
    <w:p w14:paraId="612AE15C" w14:textId="167F52E1" w:rsidR="002155A4" w:rsidRDefault="00B87926" w:rsidP="00666C9B">
      <w:pPr>
        <w:pStyle w:val="NoSpacing"/>
        <w:spacing w:after="120"/>
      </w:pPr>
      <w:r>
        <w:rPr>
          <w:b/>
        </w:rPr>
        <w:t>Table 4</w:t>
      </w:r>
      <w:r w:rsidR="004C666A" w:rsidRPr="004C666A">
        <w:rPr>
          <w:b/>
        </w:rPr>
        <w:t>. In</w:t>
      </w:r>
      <w:r w:rsidR="00193BC4">
        <w:rPr>
          <w:b/>
        </w:rPr>
        <w:t xml:space="preserve">dustries hiring </w:t>
      </w:r>
      <w:r w:rsidR="00F41D29">
        <w:rPr>
          <w:b/>
        </w:rPr>
        <w:t>Fire</w:t>
      </w:r>
      <w:r w:rsidR="009074B9">
        <w:rPr>
          <w:b/>
        </w:rPr>
        <w:t>fighters</w:t>
      </w:r>
      <w:r w:rsidR="003459D0">
        <w:rPr>
          <w:b/>
        </w:rPr>
        <w:t xml:space="preserve"> </w:t>
      </w:r>
      <w:r w:rsidR="00544C05">
        <w:rPr>
          <w:b/>
        </w:rPr>
        <w:t xml:space="preserve">in </w:t>
      </w:r>
      <w:r w:rsidR="00220D3F">
        <w:rPr>
          <w:b/>
        </w:rPr>
        <w:t>Bay Region</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8F77A4" w:rsidRPr="008409A0" w14:paraId="07638B9F" w14:textId="77777777" w:rsidTr="00666C9B">
        <w:trPr>
          <w:trHeight w:val="288"/>
        </w:trPr>
        <w:tc>
          <w:tcPr>
            <w:tcW w:w="6300" w:type="dxa"/>
            <w:tcBorders>
              <w:bottom w:val="single" w:sz="4" w:space="0" w:color="BFBFBF" w:themeColor="background1" w:themeShade="BF"/>
            </w:tcBorders>
            <w:shd w:val="clear" w:color="auto" w:fill="BFBFBF" w:themeFill="background1" w:themeFillShade="BF"/>
            <w:noWrap/>
            <w:vAlign w:val="center"/>
            <w:hideMark/>
          </w:tcPr>
          <w:p w14:paraId="451468A7" w14:textId="56B5D4D5" w:rsidR="008F77A4" w:rsidRPr="00666C9B" w:rsidRDefault="008F77A4" w:rsidP="008A05B1">
            <w:pPr>
              <w:spacing w:after="0" w:line="240" w:lineRule="auto"/>
              <w:rPr>
                <w:rFonts w:eastAsia="Times New Roman"/>
                <w:b/>
                <w:sz w:val="21"/>
                <w:szCs w:val="21"/>
              </w:rPr>
            </w:pPr>
            <w:r w:rsidRPr="00666C9B">
              <w:rPr>
                <w:rFonts w:eastAsia="Times New Roman"/>
                <w:b/>
                <w:sz w:val="21"/>
                <w:szCs w:val="21"/>
              </w:rPr>
              <w:t>Industry</w:t>
            </w:r>
            <w:r w:rsidR="002C2AFA" w:rsidRPr="00666C9B">
              <w:rPr>
                <w:rFonts w:eastAsia="Times New Roman"/>
                <w:b/>
                <w:sz w:val="21"/>
                <w:szCs w:val="21"/>
              </w:rPr>
              <w:t xml:space="preserve"> – 6</w:t>
            </w:r>
            <w:r w:rsidR="00960FA2">
              <w:rPr>
                <w:rFonts w:eastAsia="Times New Roman"/>
                <w:b/>
                <w:sz w:val="21"/>
                <w:szCs w:val="21"/>
              </w:rPr>
              <w:t xml:space="preserve"> Digit NAICS (North</w:t>
            </w:r>
            <w:r w:rsidRPr="00666C9B">
              <w:rPr>
                <w:rFonts w:eastAsia="Times New Roman"/>
                <w:b/>
                <w:sz w:val="21"/>
                <w:szCs w:val="21"/>
              </w:rPr>
              <w:t xml:space="preserve"> American Industry Classification) Codes</w:t>
            </w:r>
          </w:p>
        </w:tc>
        <w:tc>
          <w:tcPr>
            <w:tcW w:w="990" w:type="dxa"/>
            <w:tcBorders>
              <w:bottom w:val="single" w:sz="4" w:space="0" w:color="BFBFBF" w:themeColor="background1" w:themeShade="BF"/>
            </w:tcBorders>
            <w:shd w:val="clear" w:color="auto" w:fill="BFBFBF" w:themeFill="background1" w:themeFillShade="BF"/>
            <w:noWrap/>
            <w:vAlign w:val="center"/>
          </w:tcPr>
          <w:p w14:paraId="3AFFAD87" w14:textId="77777777" w:rsidR="008F77A4" w:rsidRPr="00666C9B" w:rsidRDefault="008F77A4" w:rsidP="008A05B1">
            <w:pPr>
              <w:spacing w:after="0" w:line="240" w:lineRule="auto"/>
              <w:jc w:val="center"/>
              <w:rPr>
                <w:rFonts w:eastAsia="Times New Roman"/>
                <w:b/>
                <w:sz w:val="21"/>
                <w:szCs w:val="21"/>
              </w:rPr>
            </w:pPr>
            <w:r w:rsidRPr="00666C9B">
              <w:rPr>
                <w:rFonts w:eastAsia="Times New Roman"/>
                <w:b/>
                <w:sz w:val="21"/>
                <w:szCs w:val="21"/>
              </w:rPr>
              <w:t>Jobs in Industry (2016)</w:t>
            </w:r>
          </w:p>
        </w:tc>
        <w:tc>
          <w:tcPr>
            <w:tcW w:w="990" w:type="dxa"/>
            <w:tcBorders>
              <w:bottom w:val="single" w:sz="4" w:space="0" w:color="BFBFBF" w:themeColor="background1" w:themeShade="BF"/>
            </w:tcBorders>
            <w:shd w:val="clear" w:color="auto" w:fill="BFBFBF" w:themeFill="background1" w:themeFillShade="BF"/>
            <w:vAlign w:val="center"/>
          </w:tcPr>
          <w:p w14:paraId="492A74E2" w14:textId="4EA3B2BC"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Jobs in Industry (2021)</w:t>
            </w:r>
          </w:p>
        </w:tc>
        <w:tc>
          <w:tcPr>
            <w:tcW w:w="1080" w:type="dxa"/>
            <w:tcBorders>
              <w:bottom w:val="single" w:sz="4" w:space="0" w:color="BFBFBF" w:themeColor="background1" w:themeShade="BF"/>
            </w:tcBorders>
            <w:shd w:val="clear" w:color="auto" w:fill="BFBFBF" w:themeFill="background1" w:themeFillShade="BF"/>
            <w:vAlign w:val="center"/>
          </w:tcPr>
          <w:p w14:paraId="7D25CCF8" w14:textId="7077D6AE"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 xml:space="preserve">% Change </w:t>
            </w:r>
            <w:r w:rsidRPr="00666C9B">
              <w:rPr>
                <w:rFonts w:eastAsia="Times New Roman"/>
                <w:b/>
                <w:sz w:val="20"/>
                <w:szCs w:val="20"/>
              </w:rPr>
              <w:t>(2016-21)</w:t>
            </w:r>
          </w:p>
        </w:tc>
        <w:tc>
          <w:tcPr>
            <w:tcW w:w="990" w:type="dxa"/>
            <w:tcBorders>
              <w:bottom w:val="single" w:sz="4" w:space="0" w:color="BFBFBF" w:themeColor="background1" w:themeShade="BF"/>
            </w:tcBorders>
            <w:shd w:val="clear" w:color="auto" w:fill="BFBFBF" w:themeFill="background1" w:themeFillShade="BF"/>
            <w:vAlign w:val="center"/>
          </w:tcPr>
          <w:p w14:paraId="7DB0EC3B" w14:textId="0A83CB95"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 in Industry (2016)</w:t>
            </w:r>
          </w:p>
        </w:tc>
      </w:tr>
      <w:tr w:rsidR="009074B9" w:rsidRPr="00C035EC" w14:paraId="62301382" w14:textId="77777777" w:rsidTr="009074B9">
        <w:trPr>
          <w:trHeight w:val="288"/>
        </w:trPr>
        <w:tc>
          <w:tcPr>
            <w:tcW w:w="6300" w:type="dxa"/>
            <w:tcBorders>
              <w:left w:val="nil"/>
              <w:right w:val="nil"/>
            </w:tcBorders>
            <w:shd w:val="clear" w:color="auto" w:fill="auto"/>
            <w:noWrap/>
            <w:vAlign w:val="center"/>
          </w:tcPr>
          <w:p w14:paraId="7C9FF168" w14:textId="39130643" w:rsidR="009074B9" w:rsidRPr="002C2AFA" w:rsidRDefault="009074B9" w:rsidP="009074B9">
            <w:pPr>
              <w:spacing w:after="0" w:line="240" w:lineRule="auto"/>
              <w:rPr>
                <w:sz w:val="21"/>
                <w:szCs w:val="21"/>
              </w:rPr>
            </w:pPr>
            <w:r w:rsidRPr="002C2AFA">
              <w:rPr>
                <w:sz w:val="21"/>
                <w:szCs w:val="21"/>
              </w:rPr>
              <w:t>Local Government, Excluding Education and Hospitals (903999)</w:t>
            </w:r>
          </w:p>
        </w:tc>
        <w:tc>
          <w:tcPr>
            <w:tcW w:w="990" w:type="dxa"/>
            <w:tcBorders>
              <w:left w:val="nil"/>
              <w:right w:val="nil"/>
            </w:tcBorders>
            <w:shd w:val="clear" w:color="auto" w:fill="auto"/>
            <w:noWrap/>
            <w:vAlign w:val="center"/>
          </w:tcPr>
          <w:p w14:paraId="1EFD23BC" w14:textId="27717D04" w:rsidR="009074B9" w:rsidRPr="009074B9" w:rsidRDefault="009074B9" w:rsidP="009074B9">
            <w:pPr>
              <w:spacing w:after="0" w:line="240" w:lineRule="auto"/>
              <w:jc w:val="center"/>
              <w:rPr>
                <w:sz w:val="21"/>
                <w:szCs w:val="21"/>
              </w:rPr>
            </w:pPr>
            <w:r w:rsidRPr="009074B9">
              <w:rPr>
                <w:sz w:val="21"/>
                <w:szCs w:val="21"/>
              </w:rPr>
              <w:t>6,454</w:t>
            </w:r>
          </w:p>
        </w:tc>
        <w:tc>
          <w:tcPr>
            <w:tcW w:w="990" w:type="dxa"/>
            <w:tcBorders>
              <w:left w:val="nil"/>
              <w:right w:val="nil"/>
            </w:tcBorders>
            <w:vAlign w:val="center"/>
          </w:tcPr>
          <w:p w14:paraId="3EE80E42" w14:textId="6ED9244D" w:rsidR="009074B9" w:rsidRPr="009074B9" w:rsidRDefault="009074B9" w:rsidP="009074B9">
            <w:pPr>
              <w:spacing w:after="0" w:line="240" w:lineRule="auto"/>
              <w:jc w:val="center"/>
              <w:rPr>
                <w:sz w:val="21"/>
                <w:szCs w:val="21"/>
              </w:rPr>
            </w:pPr>
            <w:r w:rsidRPr="009074B9">
              <w:rPr>
                <w:sz w:val="21"/>
                <w:szCs w:val="21"/>
              </w:rPr>
              <w:t>6,866</w:t>
            </w:r>
          </w:p>
        </w:tc>
        <w:tc>
          <w:tcPr>
            <w:tcW w:w="1080" w:type="dxa"/>
            <w:tcBorders>
              <w:left w:val="nil"/>
              <w:right w:val="nil"/>
            </w:tcBorders>
            <w:vAlign w:val="center"/>
          </w:tcPr>
          <w:p w14:paraId="4E24145B" w14:textId="47E1E041" w:rsidR="009074B9" w:rsidRPr="009074B9" w:rsidRDefault="009074B9" w:rsidP="009074B9">
            <w:pPr>
              <w:spacing w:after="0" w:line="240" w:lineRule="auto"/>
              <w:jc w:val="center"/>
              <w:rPr>
                <w:sz w:val="21"/>
                <w:szCs w:val="21"/>
              </w:rPr>
            </w:pPr>
            <w:r w:rsidRPr="009074B9">
              <w:rPr>
                <w:sz w:val="21"/>
                <w:szCs w:val="21"/>
              </w:rPr>
              <w:t>6%</w:t>
            </w:r>
          </w:p>
        </w:tc>
        <w:tc>
          <w:tcPr>
            <w:tcW w:w="990" w:type="dxa"/>
            <w:tcBorders>
              <w:left w:val="nil"/>
              <w:right w:val="nil"/>
            </w:tcBorders>
            <w:vAlign w:val="center"/>
          </w:tcPr>
          <w:p w14:paraId="7050ADFF" w14:textId="208CC245" w:rsidR="009074B9" w:rsidRPr="009074B9" w:rsidRDefault="009074B9" w:rsidP="009074B9">
            <w:pPr>
              <w:spacing w:after="0" w:line="240" w:lineRule="auto"/>
              <w:jc w:val="center"/>
              <w:rPr>
                <w:sz w:val="21"/>
                <w:szCs w:val="21"/>
              </w:rPr>
            </w:pPr>
            <w:r w:rsidRPr="009074B9">
              <w:rPr>
                <w:sz w:val="21"/>
                <w:szCs w:val="21"/>
              </w:rPr>
              <w:t>93.9%</w:t>
            </w:r>
          </w:p>
        </w:tc>
      </w:tr>
      <w:tr w:rsidR="009074B9" w:rsidRPr="00C035EC" w14:paraId="600C6ECD" w14:textId="77777777" w:rsidTr="009074B9">
        <w:trPr>
          <w:trHeight w:val="288"/>
        </w:trPr>
        <w:tc>
          <w:tcPr>
            <w:tcW w:w="6300" w:type="dxa"/>
            <w:tcBorders>
              <w:left w:val="nil"/>
              <w:right w:val="nil"/>
            </w:tcBorders>
            <w:shd w:val="clear" w:color="auto" w:fill="auto"/>
            <w:noWrap/>
            <w:vAlign w:val="center"/>
          </w:tcPr>
          <w:p w14:paraId="52126B7F" w14:textId="271B4508" w:rsidR="009074B9" w:rsidRPr="002C2AFA" w:rsidRDefault="009074B9" w:rsidP="009074B9">
            <w:pPr>
              <w:spacing w:after="0" w:line="240" w:lineRule="auto"/>
              <w:rPr>
                <w:rFonts w:eastAsia="Times New Roman"/>
                <w:sz w:val="21"/>
                <w:szCs w:val="21"/>
              </w:rPr>
            </w:pPr>
            <w:r w:rsidRPr="002C2AFA">
              <w:rPr>
                <w:sz w:val="21"/>
                <w:szCs w:val="21"/>
              </w:rPr>
              <w:t>All Other Support Services (561990)</w:t>
            </w:r>
          </w:p>
        </w:tc>
        <w:tc>
          <w:tcPr>
            <w:tcW w:w="990" w:type="dxa"/>
            <w:tcBorders>
              <w:left w:val="nil"/>
              <w:right w:val="nil"/>
            </w:tcBorders>
            <w:shd w:val="clear" w:color="auto" w:fill="auto"/>
            <w:noWrap/>
            <w:vAlign w:val="center"/>
          </w:tcPr>
          <w:p w14:paraId="27B2BFDB" w14:textId="18FF1489" w:rsidR="009074B9" w:rsidRPr="009074B9" w:rsidRDefault="009074B9" w:rsidP="009074B9">
            <w:pPr>
              <w:spacing w:after="0" w:line="240" w:lineRule="auto"/>
              <w:jc w:val="center"/>
              <w:rPr>
                <w:rFonts w:eastAsia="Times New Roman"/>
                <w:sz w:val="21"/>
                <w:szCs w:val="21"/>
              </w:rPr>
            </w:pPr>
            <w:r w:rsidRPr="009074B9">
              <w:rPr>
                <w:sz w:val="21"/>
                <w:szCs w:val="21"/>
              </w:rPr>
              <w:t>82</w:t>
            </w:r>
          </w:p>
        </w:tc>
        <w:tc>
          <w:tcPr>
            <w:tcW w:w="990" w:type="dxa"/>
            <w:tcBorders>
              <w:left w:val="nil"/>
              <w:right w:val="nil"/>
            </w:tcBorders>
            <w:vAlign w:val="center"/>
          </w:tcPr>
          <w:p w14:paraId="69F4C733" w14:textId="47259552" w:rsidR="009074B9" w:rsidRPr="009074B9" w:rsidRDefault="009074B9" w:rsidP="009074B9">
            <w:pPr>
              <w:spacing w:after="0" w:line="240" w:lineRule="auto"/>
              <w:jc w:val="center"/>
              <w:rPr>
                <w:sz w:val="21"/>
                <w:szCs w:val="21"/>
              </w:rPr>
            </w:pPr>
            <w:r w:rsidRPr="009074B9">
              <w:rPr>
                <w:sz w:val="21"/>
                <w:szCs w:val="21"/>
              </w:rPr>
              <w:t>74</w:t>
            </w:r>
          </w:p>
        </w:tc>
        <w:tc>
          <w:tcPr>
            <w:tcW w:w="1080" w:type="dxa"/>
            <w:tcBorders>
              <w:left w:val="nil"/>
              <w:right w:val="nil"/>
            </w:tcBorders>
            <w:vAlign w:val="center"/>
          </w:tcPr>
          <w:p w14:paraId="2CED01E2" w14:textId="7485CB76" w:rsidR="009074B9" w:rsidRPr="009074B9" w:rsidRDefault="009074B9" w:rsidP="009074B9">
            <w:pPr>
              <w:spacing w:after="0" w:line="240" w:lineRule="auto"/>
              <w:jc w:val="center"/>
              <w:rPr>
                <w:sz w:val="21"/>
                <w:szCs w:val="21"/>
              </w:rPr>
            </w:pPr>
            <w:r w:rsidRPr="009074B9">
              <w:rPr>
                <w:color w:val="FF0000"/>
                <w:sz w:val="21"/>
                <w:szCs w:val="21"/>
              </w:rPr>
              <w:t xml:space="preserve"> (10%)</w:t>
            </w:r>
          </w:p>
        </w:tc>
        <w:tc>
          <w:tcPr>
            <w:tcW w:w="990" w:type="dxa"/>
            <w:tcBorders>
              <w:left w:val="nil"/>
              <w:right w:val="nil"/>
            </w:tcBorders>
            <w:vAlign w:val="center"/>
          </w:tcPr>
          <w:p w14:paraId="0F76EA6F" w14:textId="389C826F" w:rsidR="009074B9" w:rsidRPr="009074B9" w:rsidRDefault="009074B9" w:rsidP="009074B9">
            <w:pPr>
              <w:spacing w:after="0" w:line="240" w:lineRule="auto"/>
              <w:jc w:val="center"/>
              <w:rPr>
                <w:rFonts w:eastAsia="Times New Roman"/>
                <w:sz w:val="21"/>
                <w:szCs w:val="21"/>
              </w:rPr>
            </w:pPr>
            <w:r w:rsidRPr="009074B9">
              <w:rPr>
                <w:sz w:val="21"/>
                <w:szCs w:val="21"/>
              </w:rPr>
              <w:t>1.2%</w:t>
            </w:r>
          </w:p>
        </w:tc>
      </w:tr>
      <w:tr w:rsidR="009074B9" w:rsidRPr="00C035EC" w14:paraId="1BBDEF13" w14:textId="77777777" w:rsidTr="009074B9">
        <w:trPr>
          <w:trHeight w:val="288"/>
        </w:trPr>
        <w:tc>
          <w:tcPr>
            <w:tcW w:w="6300" w:type="dxa"/>
            <w:tcBorders>
              <w:left w:val="nil"/>
              <w:right w:val="nil"/>
            </w:tcBorders>
            <w:shd w:val="clear" w:color="auto" w:fill="auto"/>
            <w:noWrap/>
            <w:vAlign w:val="center"/>
          </w:tcPr>
          <w:p w14:paraId="6B973C71" w14:textId="565A7A93" w:rsidR="009074B9" w:rsidRPr="002C2AFA" w:rsidRDefault="009074B9" w:rsidP="009074B9">
            <w:pPr>
              <w:spacing w:after="0" w:line="240" w:lineRule="auto"/>
              <w:rPr>
                <w:sz w:val="21"/>
                <w:szCs w:val="21"/>
              </w:rPr>
            </w:pPr>
            <w:r w:rsidRPr="002C2AFA">
              <w:rPr>
                <w:sz w:val="21"/>
                <w:szCs w:val="21"/>
              </w:rPr>
              <w:t>Federal Government, Civilian, Excluding Postal Service (901199)</w:t>
            </w:r>
          </w:p>
        </w:tc>
        <w:tc>
          <w:tcPr>
            <w:tcW w:w="990" w:type="dxa"/>
            <w:tcBorders>
              <w:left w:val="nil"/>
              <w:right w:val="nil"/>
            </w:tcBorders>
            <w:shd w:val="clear" w:color="auto" w:fill="auto"/>
            <w:noWrap/>
            <w:vAlign w:val="center"/>
          </w:tcPr>
          <w:p w14:paraId="23F6BA48" w14:textId="4E9502E4" w:rsidR="009074B9" w:rsidRPr="009074B9" w:rsidRDefault="009074B9" w:rsidP="009074B9">
            <w:pPr>
              <w:spacing w:after="0" w:line="240" w:lineRule="auto"/>
              <w:jc w:val="center"/>
              <w:rPr>
                <w:sz w:val="21"/>
                <w:szCs w:val="21"/>
              </w:rPr>
            </w:pPr>
            <w:r w:rsidRPr="009074B9">
              <w:rPr>
                <w:sz w:val="21"/>
                <w:szCs w:val="21"/>
              </w:rPr>
              <w:t>78</w:t>
            </w:r>
          </w:p>
        </w:tc>
        <w:tc>
          <w:tcPr>
            <w:tcW w:w="990" w:type="dxa"/>
            <w:tcBorders>
              <w:left w:val="nil"/>
              <w:right w:val="nil"/>
            </w:tcBorders>
            <w:vAlign w:val="center"/>
          </w:tcPr>
          <w:p w14:paraId="5E16C46A" w14:textId="2A56CBC4" w:rsidR="009074B9" w:rsidRPr="009074B9" w:rsidRDefault="009074B9" w:rsidP="009074B9">
            <w:pPr>
              <w:spacing w:after="0" w:line="240" w:lineRule="auto"/>
              <w:jc w:val="center"/>
              <w:rPr>
                <w:sz w:val="21"/>
                <w:szCs w:val="21"/>
              </w:rPr>
            </w:pPr>
            <w:r w:rsidRPr="009074B9">
              <w:rPr>
                <w:sz w:val="21"/>
                <w:szCs w:val="21"/>
              </w:rPr>
              <w:t>78</w:t>
            </w:r>
          </w:p>
        </w:tc>
        <w:tc>
          <w:tcPr>
            <w:tcW w:w="1080" w:type="dxa"/>
            <w:tcBorders>
              <w:left w:val="nil"/>
              <w:right w:val="nil"/>
            </w:tcBorders>
            <w:vAlign w:val="center"/>
          </w:tcPr>
          <w:p w14:paraId="652F80DF" w14:textId="04DCAFCD" w:rsidR="009074B9" w:rsidRPr="009074B9" w:rsidRDefault="009074B9" w:rsidP="009074B9">
            <w:pPr>
              <w:spacing w:after="0" w:line="240" w:lineRule="auto"/>
              <w:jc w:val="center"/>
              <w:rPr>
                <w:sz w:val="21"/>
                <w:szCs w:val="21"/>
              </w:rPr>
            </w:pPr>
            <w:r w:rsidRPr="009074B9">
              <w:rPr>
                <w:sz w:val="21"/>
                <w:szCs w:val="21"/>
              </w:rPr>
              <w:t>0%</w:t>
            </w:r>
          </w:p>
        </w:tc>
        <w:tc>
          <w:tcPr>
            <w:tcW w:w="990" w:type="dxa"/>
            <w:tcBorders>
              <w:left w:val="nil"/>
              <w:right w:val="nil"/>
            </w:tcBorders>
            <w:vAlign w:val="center"/>
          </w:tcPr>
          <w:p w14:paraId="4B55201E" w14:textId="3BDE5B9D" w:rsidR="009074B9" w:rsidRPr="009074B9" w:rsidRDefault="009074B9" w:rsidP="009074B9">
            <w:pPr>
              <w:spacing w:after="0" w:line="240" w:lineRule="auto"/>
              <w:jc w:val="center"/>
              <w:rPr>
                <w:sz w:val="21"/>
                <w:szCs w:val="21"/>
              </w:rPr>
            </w:pPr>
            <w:r w:rsidRPr="009074B9">
              <w:rPr>
                <w:sz w:val="21"/>
                <w:szCs w:val="21"/>
              </w:rPr>
              <w:t>1.1%</w:t>
            </w:r>
          </w:p>
        </w:tc>
      </w:tr>
      <w:tr w:rsidR="009074B9" w:rsidRPr="00C035EC" w14:paraId="505EC56B" w14:textId="77777777" w:rsidTr="009074B9">
        <w:trPr>
          <w:trHeight w:val="288"/>
        </w:trPr>
        <w:tc>
          <w:tcPr>
            <w:tcW w:w="6300" w:type="dxa"/>
            <w:tcBorders>
              <w:left w:val="nil"/>
              <w:right w:val="nil"/>
            </w:tcBorders>
            <w:shd w:val="clear" w:color="auto" w:fill="auto"/>
            <w:noWrap/>
            <w:vAlign w:val="center"/>
          </w:tcPr>
          <w:p w14:paraId="73B35173" w14:textId="6E5D4C4C" w:rsidR="009074B9" w:rsidRPr="002C2AFA" w:rsidRDefault="009074B9" w:rsidP="009074B9">
            <w:pPr>
              <w:spacing w:after="0" w:line="240" w:lineRule="auto"/>
              <w:rPr>
                <w:sz w:val="21"/>
                <w:szCs w:val="21"/>
              </w:rPr>
            </w:pPr>
            <w:r w:rsidRPr="002C2AFA">
              <w:rPr>
                <w:sz w:val="21"/>
                <w:szCs w:val="21"/>
              </w:rPr>
              <w:t>State Government, Excluding Education and Hospitals (902999)</w:t>
            </w:r>
          </w:p>
        </w:tc>
        <w:tc>
          <w:tcPr>
            <w:tcW w:w="990" w:type="dxa"/>
            <w:tcBorders>
              <w:left w:val="nil"/>
              <w:right w:val="nil"/>
            </w:tcBorders>
            <w:shd w:val="clear" w:color="auto" w:fill="auto"/>
            <w:noWrap/>
            <w:vAlign w:val="center"/>
          </w:tcPr>
          <w:p w14:paraId="4148A4A2" w14:textId="6BD46848" w:rsidR="009074B9" w:rsidRPr="009074B9" w:rsidRDefault="009074B9" w:rsidP="009074B9">
            <w:pPr>
              <w:spacing w:after="0" w:line="240" w:lineRule="auto"/>
              <w:jc w:val="center"/>
              <w:rPr>
                <w:sz w:val="21"/>
                <w:szCs w:val="21"/>
              </w:rPr>
            </w:pPr>
            <w:r w:rsidRPr="009074B9">
              <w:rPr>
                <w:sz w:val="21"/>
                <w:szCs w:val="21"/>
              </w:rPr>
              <w:t>76</w:t>
            </w:r>
          </w:p>
        </w:tc>
        <w:tc>
          <w:tcPr>
            <w:tcW w:w="990" w:type="dxa"/>
            <w:tcBorders>
              <w:left w:val="nil"/>
              <w:right w:val="nil"/>
            </w:tcBorders>
            <w:vAlign w:val="center"/>
          </w:tcPr>
          <w:p w14:paraId="1AE0BE6F" w14:textId="084F3E64" w:rsidR="009074B9" w:rsidRPr="009074B9" w:rsidRDefault="009074B9" w:rsidP="009074B9">
            <w:pPr>
              <w:spacing w:after="0" w:line="240" w:lineRule="auto"/>
              <w:jc w:val="center"/>
              <w:rPr>
                <w:sz w:val="21"/>
                <w:szCs w:val="21"/>
              </w:rPr>
            </w:pPr>
            <w:r w:rsidRPr="009074B9">
              <w:rPr>
                <w:sz w:val="21"/>
                <w:szCs w:val="21"/>
              </w:rPr>
              <w:t>79</w:t>
            </w:r>
          </w:p>
        </w:tc>
        <w:tc>
          <w:tcPr>
            <w:tcW w:w="1080" w:type="dxa"/>
            <w:tcBorders>
              <w:left w:val="nil"/>
              <w:right w:val="nil"/>
            </w:tcBorders>
            <w:vAlign w:val="center"/>
          </w:tcPr>
          <w:p w14:paraId="3AF66B29" w14:textId="56C22D92" w:rsidR="009074B9" w:rsidRPr="009074B9" w:rsidRDefault="009074B9" w:rsidP="009074B9">
            <w:pPr>
              <w:spacing w:after="0" w:line="240" w:lineRule="auto"/>
              <w:jc w:val="center"/>
              <w:rPr>
                <w:sz w:val="21"/>
                <w:szCs w:val="21"/>
              </w:rPr>
            </w:pPr>
            <w:r w:rsidRPr="009074B9">
              <w:rPr>
                <w:sz w:val="21"/>
                <w:szCs w:val="21"/>
              </w:rPr>
              <w:t>4%</w:t>
            </w:r>
          </w:p>
        </w:tc>
        <w:tc>
          <w:tcPr>
            <w:tcW w:w="990" w:type="dxa"/>
            <w:tcBorders>
              <w:left w:val="nil"/>
              <w:right w:val="nil"/>
            </w:tcBorders>
            <w:vAlign w:val="center"/>
          </w:tcPr>
          <w:p w14:paraId="1A79DEA3" w14:textId="2CCE3CA0" w:rsidR="009074B9" w:rsidRPr="009074B9" w:rsidRDefault="009074B9" w:rsidP="009074B9">
            <w:pPr>
              <w:spacing w:after="0" w:line="240" w:lineRule="auto"/>
              <w:jc w:val="center"/>
              <w:rPr>
                <w:sz w:val="21"/>
                <w:szCs w:val="21"/>
              </w:rPr>
            </w:pPr>
            <w:r w:rsidRPr="009074B9">
              <w:rPr>
                <w:sz w:val="21"/>
                <w:szCs w:val="21"/>
              </w:rPr>
              <w:t>1.1%</w:t>
            </w:r>
          </w:p>
        </w:tc>
      </w:tr>
      <w:tr w:rsidR="009074B9" w:rsidRPr="00C035EC" w14:paraId="0C93E567" w14:textId="77777777" w:rsidTr="009074B9">
        <w:trPr>
          <w:trHeight w:val="288"/>
        </w:trPr>
        <w:tc>
          <w:tcPr>
            <w:tcW w:w="6300" w:type="dxa"/>
            <w:tcBorders>
              <w:left w:val="nil"/>
              <w:right w:val="nil"/>
            </w:tcBorders>
            <w:shd w:val="clear" w:color="auto" w:fill="auto"/>
            <w:noWrap/>
            <w:vAlign w:val="center"/>
          </w:tcPr>
          <w:p w14:paraId="60896D03" w14:textId="45AAC785" w:rsidR="009074B9" w:rsidRPr="002C2AFA" w:rsidRDefault="009074B9" w:rsidP="009074B9">
            <w:pPr>
              <w:spacing w:after="0" w:line="240" w:lineRule="auto"/>
              <w:rPr>
                <w:sz w:val="21"/>
                <w:szCs w:val="21"/>
              </w:rPr>
            </w:pPr>
            <w:r w:rsidRPr="002C2AFA">
              <w:rPr>
                <w:sz w:val="21"/>
                <w:szCs w:val="21"/>
              </w:rPr>
              <w:t>Convention and Trade Show Organizers (561920)</w:t>
            </w:r>
          </w:p>
        </w:tc>
        <w:tc>
          <w:tcPr>
            <w:tcW w:w="990" w:type="dxa"/>
            <w:tcBorders>
              <w:left w:val="nil"/>
              <w:right w:val="nil"/>
            </w:tcBorders>
            <w:shd w:val="clear" w:color="auto" w:fill="auto"/>
            <w:noWrap/>
            <w:vAlign w:val="center"/>
          </w:tcPr>
          <w:p w14:paraId="13280660" w14:textId="208E35E4" w:rsidR="009074B9" w:rsidRPr="009074B9" w:rsidRDefault="009074B9" w:rsidP="009074B9">
            <w:pPr>
              <w:spacing w:after="0" w:line="240" w:lineRule="auto"/>
              <w:jc w:val="center"/>
              <w:rPr>
                <w:sz w:val="21"/>
                <w:szCs w:val="21"/>
              </w:rPr>
            </w:pPr>
            <w:r w:rsidRPr="009074B9">
              <w:rPr>
                <w:sz w:val="21"/>
                <w:szCs w:val="21"/>
              </w:rPr>
              <w:t>67</w:t>
            </w:r>
          </w:p>
        </w:tc>
        <w:tc>
          <w:tcPr>
            <w:tcW w:w="990" w:type="dxa"/>
            <w:tcBorders>
              <w:left w:val="nil"/>
              <w:right w:val="nil"/>
            </w:tcBorders>
            <w:vAlign w:val="center"/>
          </w:tcPr>
          <w:p w14:paraId="2311D77D" w14:textId="0AA4A4F0" w:rsidR="009074B9" w:rsidRPr="009074B9" w:rsidRDefault="009074B9" w:rsidP="009074B9">
            <w:pPr>
              <w:spacing w:after="0" w:line="240" w:lineRule="auto"/>
              <w:jc w:val="center"/>
              <w:rPr>
                <w:sz w:val="21"/>
                <w:szCs w:val="21"/>
              </w:rPr>
            </w:pPr>
            <w:r w:rsidRPr="009074B9">
              <w:rPr>
                <w:sz w:val="21"/>
                <w:szCs w:val="21"/>
              </w:rPr>
              <w:t>78</w:t>
            </w:r>
          </w:p>
        </w:tc>
        <w:tc>
          <w:tcPr>
            <w:tcW w:w="1080" w:type="dxa"/>
            <w:tcBorders>
              <w:left w:val="nil"/>
              <w:right w:val="nil"/>
            </w:tcBorders>
            <w:vAlign w:val="center"/>
          </w:tcPr>
          <w:p w14:paraId="621854BB" w14:textId="7B687A68" w:rsidR="009074B9" w:rsidRPr="009074B9" w:rsidRDefault="009074B9" w:rsidP="009074B9">
            <w:pPr>
              <w:spacing w:after="0" w:line="240" w:lineRule="auto"/>
              <w:jc w:val="center"/>
              <w:rPr>
                <w:sz w:val="21"/>
                <w:szCs w:val="21"/>
              </w:rPr>
            </w:pPr>
            <w:r w:rsidRPr="009074B9">
              <w:rPr>
                <w:sz w:val="21"/>
                <w:szCs w:val="21"/>
              </w:rPr>
              <w:t>16%</w:t>
            </w:r>
          </w:p>
        </w:tc>
        <w:tc>
          <w:tcPr>
            <w:tcW w:w="990" w:type="dxa"/>
            <w:tcBorders>
              <w:left w:val="nil"/>
              <w:right w:val="nil"/>
            </w:tcBorders>
            <w:vAlign w:val="center"/>
          </w:tcPr>
          <w:p w14:paraId="01895524" w14:textId="3F090917" w:rsidR="009074B9" w:rsidRPr="009074B9" w:rsidRDefault="009074B9" w:rsidP="009074B9">
            <w:pPr>
              <w:spacing w:after="0" w:line="240" w:lineRule="auto"/>
              <w:jc w:val="center"/>
              <w:rPr>
                <w:sz w:val="21"/>
                <w:szCs w:val="21"/>
              </w:rPr>
            </w:pPr>
            <w:r w:rsidRPr="009074B9">
              <w:rPr>
                <w:sz w:val="21"/>
                <w:szCs w:val="21"/>
              </w:rPr>
              <w:t>1.0%</w:t>
            </w:r>
          </w:p>
        </w:tc>
      </w:tr>
    </w:tbl>
    <w:p w14:paraId="6B20167B" w14:textId="6B241A40" w:rsidR="006E3877" w:rsidRPr="006E3877" w:rsidRDefault="00A56CE1" w:rsidP="005A7931">
      <w:pPr>
        <w:spacing w:after="240"/>
        <w:ind w:left="144"/>
        <w:rPr>
          <w:i/>
          <w:sz w:val="20"/>
          <w:szCs w:val="20"/>
        </w:rPr>
      </w:pPr>
      <w:r>
        <w:rPr>
          <w:i/>
          <w:sz w:val="20"/>
          <w:szCs w:val="20"/>
        </w:rPr>
        <w:t>Source: EMSI 2017.4</w:t>
      </w:r>
    </w:p>
    <w:p w14:paraId="4C9E14D6" w14:textId="113BF4C2" w:rsidR="001342CC" w:rsidRDefault="00B87926" w:rsidP="00046343">
      <w:pPr>
        <w:pStyle w:val="NoSpacing"/>
        <w:spacing w:after="40"/>
        <w:rPr>
          <w:b/>
        </w:rPr>
      </w:pPr>
      <w:r>
        <w:rPr>
          <w:b/>
        </w:rPr>
        <w:t>Table 5</w:t>
      </w:r>
      <w:r w:rsidR="001342CC" w:rsidRPr="00552133">
        <w:rPr>
          <w:b/>
        </w:rPr>
        <w:t xml:space="preserve">. Top Employers Posting Jobs </w:t>
      </w:r>
      <w:r w:rsidR="006E3877">
        <w:rPr>
          <w:b/>
        </w:rPr>
        <w:t xml:space="preserve">in Bay Region </w:t>
      </w:r>
      <w:r w:rsidR="006E2B6C">
        <w:rPr>
          <w:b/>
        </w:rPr>
        <w:t xml:space="preserve">for latest 12 months </w:t>
      </w:r>
      <w:r w:rsidR="0096674A">
        <w:rPr>
          <w:b/>
        </w:rPr>
        <w:t xml:space="preserve">(Feb 2017 – Jan </w:t>
      </w:r>
      <w:r w:rsidR="00D8494B">
        <w:rPr>
          <w:b/>
        </w:rPr>
        <w:t>2018)</w:t>
      </w:r>
    </w:p>
    <w:tbl>
      <w:tblPr>
        <w:tblW w:w="593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507"/>
        <w:gridCol w:w="990"/>
        <w:gridCol w:w="1440"/>
      </w:tblGrid>
      <w:tr w:rsidR="003A698D" w:rsidRPr="00D122C9" w14:paraId="58D2A655" w14:textId="06AEB4E2" w:rsidTr="003A698D">
        <w:trPr>
          <w:trHeight w:val="260"/>
        </w:trPr>
        <w:tc>
          <w:tcPr>
            <w:tcW w:w="3507" w:type="dxa"/>
            <w:tcBorders>
              <w:top w:val="single" w:sz="4" w:space="0" w:color="BFBFBF" w:themeColor="background1" w:themeShade="BF"/>
              <w:left w:val="nil"/>
              <w:bottom w:val="nil"/>
              <w:right w:val="nil"/>
            </w:tcBorders>
            <w:shd w:val="clear" w:color="auto" w:fill="F2F8C9" w:themeFill="accent2" w:themeFillTint="33"/>
            <w:noWrap/>
            <w:vAlign w:val="center"/>
            <w:hideMark/>
          </w:tcPr>
          <w:p w14:paraId="2328C33C" w14:textId="77777777" w:rsidR="003A698D" w:rsidRPr="00D122C9" w:rsidRDefault="003A698D" w:rsidP="00A75208">
            <w:pPr>
              <w:spacing w:after="0" w:line="240" w:lineRule="auto"/>
              <w:rPr>
                <w:rFonts w:asciiTheme="majorHAnsi" w:eastAsia="Times New Roman" w:hAnsiTheme="majorHAnsi"/>
                <w:b/>
              </w:rPr>
            </w:pPr>
            <w:r w:rsidRPr="00D122C9">
              <w:rPr>
                <w:rFonts w:asciiTheme="majorHAnsi" w:eastAsia="Times New Roman" w:hAnsiTheme="majorHAnsi"/>
                <w:b/>
              </w:rPr>
              <w:t>Employer</w:t>
            </w:r>
          </w:p>
        </w:tc>
        <w:tc>
          <w:tcPr>
            <w:tcW w:w="990" w:type="dxa"/>
            <w:tcBorders>
              <w:top w:val="single" w:sz="4" w:space="0" w:color="BFBFBF" w:themeColor="background1" w:themeShade="BF"/>
              <w:left w:val="nil"/>
              <w:bottom w:val="nil"/>
              <w:right w:val="nil"/>
            </w:tcBorders>
            <w:shd w:val="clear" w:color="auto" w:fill="F2F8C9" w:themeFill="accent2" w:themeFillTint="33"/>
            <w:noWrap/>
            <w:vAlign w:val="center"/>
            <w:hideMark/>
          </w:tcPr>
          <w:p w14:paraId="6DD6A079" w14:textId="6750B3D3" w:rsidR="003A698D" w:rsidRPr="00D122C9" w:rsidRDefault="003A698D" w:rsidP="00A75208">
            <w:pPr>
              <w:spacing w:after="0" w:line="240" w:lineRule="auto"/>
              <w:jc w:val="center"/>
              <w:rPr>
                <w:rFonts w:asciiTheme="majorHAnsi" w:eastAsia="Times New Roman" w:hAnsiTheme="majorHAnsi"/>
                <w:b/>
              </w:rPr>
            </w:pPr>
            <w:r>
              <w:rPr>
                <w:rFonts w:asciiTheme="majorHAnsi" w:eastAsia="Times New Roman" w:hAnsiTheme="majorHAnsi"/>
                <w:b/>
              </w:rPr>
              <w:t>Bay</w:t>
            </w:r>
          </w:p>
        </w:tc>
        <w:tc>
          <w:tcPr>
            <w:tcW w:w="1440" w:type="dxa"/>
            <w:tcBorders>
              <w:top w:val="single" w:sz="4" w:space="0" w:color="BFBFBF" w:themeColor="background1" w:themeShade="BF"/>
              <w:left w:val="nil"/>
              <w:bottom w:val="nil"/>
              <w:right w:val="nil"/>
            </w:tcBorders>
            <w:shd w:val="clear" w:color="auto" w:fill="F2F8C9" w:themeFill="accent2" w:themeFillTint="33"/>
            <w:vAlign w:val="center"/>
          </w:tcPr>
          <w:p w14:paraId="22F2D499" w14:textId="1D3476D3" w:rsidR="003A698D" w:rsidRDefault="003A698D" w:rsidP="00A75208">
            <w:pPr>
              <w:spacing w:after="0" w:line="240" w:lineRule="auto"/>
              <w:jc w:val="center"/>
              <w:rPr>
                <w:rFonts w:asciiTheme="majorHAnsi" w:eastAsia="Times New Roman" w:hAnsiTheme="majorHAnsi"/>
                <w:b/>
              </w:rPr>
            </w:pPr>
            <w:r>
              <w:rPr>
                <w:rFonts w:asciiTheme="majorHAnsi" w:eastAsia="Times New Roman" w:hAnsiTheme="majorHAnsi"/>
                <w:b/>
              </w:rPr>
              <w:t>SC-Monterey</w:t>
            </w:r>
          </w:p>
        </w:tc>
      </w:tr>
      <w:tr w:rsidR="003A698D" w:rsidRPr="00D122C9" w14:paraId="1792394E" w14:textId="68A35775" w:rsidTr="003A698D">
        <w:trPr>
          <w:trHeight w:val="260"/>
        </w:trPr>
        <w:tc>
          <w:tcPr>
            <w:tcW w:w="3507" w:type="dxa"/>
            <w:tcBorders>
              <w:top w:val="nil"/>
              <w:left w:val="nil"/>
              <w:bottom w:val="single" w:sz="6" w:space="0" w:color="BFBFBF" w:themeColor="background1" w:themeShade="BF"/>
              <w:right w:val="nil"/>
            </w:tcBorders>
            <w:shd w:val="clear" w:color="auto" w:fill="auto"/>
            <w:noWrap/>
            <w:vAlign w:val="center"/>
          </w:tcPr>
          <w:p w14:paraId="2443DFED" w14:textId="28D25814" w:rsidR="003A698D" w:rsidRPr="00C940C0" w:rsidRDefault="003A698D" w:rsidP="00A75208">
            <w:pPr>
              <w:spacing w:after="0" w:line="240" w:lineRule="auto"/>
              <w:rPr>
                <w:rFonts w:asciiTheme="majorHAnsi" w:eastAsia="Times New Roman" w:hAnsiTheme="majorHAnsi"/>
                <w:sz w:val="21"/>
                <w:szCs w:val="21"/>
              </w:rPr>
            </w:pPr>
            <w:r w:rsidRPr="00C940C0">
              <w:rPr>
                <w:sz w:val="21"/>
                <w:szCs w:val="21"/>
              </w:rPr>
              <w:t>Department Of The Army</w:t>
            </w:r>
          </w:p>
        </w:tc>
        <w:tc>
          <w:tcPr>
            <w:tcW w:w="990" w:type="dxa"/>
            <w:tcBorders>
              <w:top w:val="nil"/>
              <w:left w:val="nil"/>
              <w:bottom w:val="single" w:sz="6" w:space="0" w:color="BFBFBF" w:themeColor="background1" w:themeShade="BF"/>
              <w:right w:val="nil"/>
            </w:tcBorders>
            <w:shd w:val="clear" w:color="auto" w:fill="auto"/>
            <w:noWrap/>
            <w:vAlign w:val="center"/>
          </w:tcPr>
          <w:p w14:paraId="5AF240CB" w14:textId="54190703" w:rsidR="003A698D" w:rsidRPr="00C940C0" w:rsidRDefault="003A698D" w:rsidP="00A75208">
            <w:pPr>
              <w:spacing w:after="0" w:line="240" w:lineRule="auto"/>
              <w:jc w:val="center"/>
              <w:rPr>
                <w:rFonts w:asciiTheme="majorHAnsi" w:eastAsia="Times New Roman" w:hAnsiTheme="majorHAnsi"/>
                <w:sz w:val="21"/>
                <w:szCs w:val="21"/>
              </w:rPr>
            </w:pPr>
            <w:r w:rsidRPr="00C940C0">
              <w:rPr>
                <w:sz w:val="21"/>
                <w:szCs w:val="21"/>
              </w:rPr>
              <w:t>6</w:t>
            </w:r>
          </w:p>
        </w:tc>
        <w:tc>
          <w:tcPr>
            <w:tcW w:w="1440" w:type="dxa"/>
            <w:tcBorders>
              <w:top w:val="nil"/>
              <w:left w:val="nil"/>
              <w:bottom w:val="single" w:sz="6" w:space="0" w:color="BFBFBF" w:themeColor="background1" w:themeShade="BF"/>
              <w:right w:val="nil"/>
            </w:tcBorders>
            <w:vAlign w:val="center"/>
          </w:tcPr>
          <w:p w14:paraId="66C46637" w14:textId="6174D59A" w:rsidR="003A698D" w:rsidRPr="00C940C0" w:rsidRDefault="00C940C0" w:rsidP="00A75208">
            <w:pPr>
              <w:spacing w:after="0" w:line="240" w:lineRule="auto"/>
              <w:jc w:val="center"/>
              <w:rPr>
                <w:sz w:val="21"/>
                <w:szCs w:val="21"/>
              </w:rPr>
            </w:pPr>
            <w:r w:rsidRPr="00C940C0">
              <w:rPr>
                <w:sz w:val="21"/>
                <w:szCs w:val="21"/>
              </w:rPr>
              <w:t>4</w:t>
            </w:r>
          </w:p>
        </w:tc>
      </w:tr>
      <w:tr w:rsidR="003A698D" w:rsidRPr="00D122C9" w14:paraId="12072419" w14:textId="20CAE367" w:rsidTr="003A698D">
        <w:trPr>
          <w:trHeight w:val="183"/>
        </w:trPr>
        <w:tc>
          <w:tcPr>
            <w:tcW w:w="350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5FAD1956" w14:textId="49FE2185" w:rsidR="003A698D" w:rsidRPr="00C940C0" w:rsidRDefault="003A698D" w:rsidP="00A75208">
            <w:pPr>
              <w:spacing w:after="0" w:line="240" w:lineRule="auto"/>
              <w:rPr>
                <w:rFonts w:asciiTheme="majorHAnsi" w:eastAsia="Times New Roman" w:hAnsiTheme="majorHAnsi"/>
                <w:sz w:val="21"/>
                <w:szCs w:val="21"/>
              </w:rPr>
            </w:pPr>
            <w:r w:rsidRPr="00C940C0">
              <w:rPr>
                <w:sz w:val="21"/>
                <w:szCs w:val="21"/>
              </w:rPr>
              <w:t>National Park Service</w:t>
            </w:r>
          </w:p>
        </w:tc>
        <w:tc>
          <w:tcPr>
            <w:tcW w:w="99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EB1D455" w14:textId="70CE50D3" w:rsidR="003A698D" w:rsidRPr="00C940C0" w:rsidRDefault="003A698D" w:rsidP="00A75208">
            <w:pPr>
              <w:spacing w:after="0" w:line="240" w:lineRule="auto"/>
              <w:jc w:val="center"/>
              <w:rPr>
                <w:rFonts w:asciiTheme="majorHAnsi" w:eastAsia="Times New Roman" w:hAnsiTheme="majorHAnsi"/>
                <w:sz w:val="21"/>
                <w:szCs w:val="21"/>
              </w:rPr>
            </w:pPr>
            <w:r w:rsidRPr="00C940C0">
              <w:rPr>
                <w:sz w:val="21"/>
                <w:szCs w:val="21"/>
              </w:rPr>
              <w:t>4</w:t>
            </w:r>
          </w:p>
        </w:tc>
        <w:tc>
          <w:tcPr>
            <w:tcW w:w="1440" w:type="dxa"/>
            <w:tcBorders>
              <w:top w:val="single" w:sz="6" w:space="0" w:color="BFBFBF" w:themeColor="background1" w:themeShade="BF"/>
              <w:left w:val="nil"/>
              <w:bottom w:val="single" w:sz="6" w:space="0" w:color="BFBFBF" w:themeColor="background1" w:themeShade="BF"/>
              <w:right w:val="nil"/>
            </w:tcBorders>
            <w:vAlign w:val="center"/>
          </w:tcPr>
          <w:p w14:paraId="3A776915" w14:textId="76890E49" w:rsidR="003A698D" w:rsidRPr="00C940C0" w:rsidRDefault="00C940C0" w:rsidP="00A75208">
            <w:pPr>
              <w:spacing w:after="0" w:line="240" w:lineRule="auto"/>
              <w:jc w:val="center"/>
              <w:rPr>
                <w:sz w:val="21"/>
                <w:szCs w:val="21"/>
              </w:rPr>
            </w:pPr>
            <w:r w:rsidRPr="00C940C0">
              <w:rPr>
                <w:sz w:val="21"/>
                <w:szCs w:val="21"/>
              </w:rPr>
              <w:t>0</w:t>
            </w:r>
          </w:p>
        </w:tc>
      </w:tr>
      <w:tr w:rsidR="003A698D" w:rsidRPr="00D122C9" w14:paraId="24518991" w14:textId="072E79AD" w:rsidTr="003A698D">
        <w:trPr>
          <w:trHeight w:val="260"/>
        </w:trPr>
        <w:tc>
          <w:tcPr>
            <w:tcW w:w="350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370081EA" w14:textId="4F72205C" w:rsidR="003A698D" w:rsidRPr="00C940C0" w:rsidRDefault="003A698D" w:rsidP="00A75208">
            <w:pPr>
              <w:spacing w:after="0" w:line="240" w:lineRule="auto"/>
              <w:rPr>
                <w:sz w:val="21"/>
                <w:szCs w:val="21"/>
              </w:rPr>
            </w:pPr>
            <w:r w:rsidRPr="00C940C0">
              <w:rPr>
                <w:sz w:val="21"/>
                <w:szCs w:val="21"/>
              </w:rPr>
              <w:t xml:space="preserve">Nissan North America </w:t>
            </w:r>
            <w:proofErr w:type="spellStart"/>
            <w:r w:rsidRPr="00C940C0">
              <w:rPr>
                <w:sz w:val="21"/>
                <w:szCs w:val="21"/>
              </w:rPr>
              <w:t>Inc</w:t>
            </w:r>
            <w:proofErr w:type="spellEnd"/>
          </w:p>
        </w:tc>
        <w:tc>
          <w:tcPr>
            <w:tcW w:w="99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2984B5A4" w14:textId="01B7022A" w:rsidR="003A698D" w:rsidRPr="00C940C0" w:rsidRDefault="003A698D" w:rsidP="00A75208">
            <w:pPr>
              <w:spacing w:after="0" w:line="240" w:lineRule="auto"/>
              <w:jc w:val="center"/>
              <w:rPr>
                <w:rFonts w:asciiTheme="majorHAnsi" w:eastAsia="Times New Roman" w:hAnsiTheme="majorHAnsi"/>
                <w:sz w:val="21"/>
                <w:szCs w:val="21"/>
              </w:rPr>
            </w:pPr>
            <w:r w:rsidRPr="00C940C0">
              <w:rPr>
                <w:sz w:val="21"/>
                <w:szCs w:val="21"/>
              </w:rPr>
              <w:t>4</w:t>
            </w:r>
          </w:p>
        </w:tc>
        <w:tc>
          <w:tcPr>
            <w:tcW w:w="1440" w:type="dxa"/>
            <w:tcBorders>
              <w:top w:val="single" w:sz="6" w:space="0" w:color="BFBFBF" w:themeColor="background1" w:themeShade="BF"/>
              <w:left w:val="nil"/>
              <w:bottom w:val="single" w:sz="6" w:space="0" w:color="BFBFBF" w:themeColor="background1" w:themeShade="BF"/>
              <w:right w:val="nil"/>
            </w:tcBorders>
            <w:vAlign w:val="center"/>
          </w:tcPr>
          <w:p w14:paraId="21B127D3" w14:textId="1FAA1349" w:rsidR="003A698D" w:rsidRPr="00C940C0" w:rsidRDefault="00C940C0" w:rsidP="00A75208">
            <w:pPr>
              <w:spacing w:after="0" w:line="240" w:lineRule="auto"/>
              <w:jc w:val="center"/>
              <w:rPr>
                <w:sz w:val="21"/>
                <w:szCs w:val="21"/>
              </w:rPr>
            </w:pPr>
            <w:r w:rsidRPr="00C940C0">
              <w:rPr>
                <w:sz w:val="21"/>
                <w:szCs w:val="21"/>
              </w:rPr>
              <w:t>0</w:t>
            </w:r>
          </w:p>
        </w:tc>
      </w:tr>
    </w:tbl>
    <w:p w14:paraId="3EEB3C1E" w14:textId="3D6097E6" w:rsidR="00995018" w:rsidRPr="002165BB" w:rsidRDefault="006E3877" w:rsidP="00046343">
      <w:pPr>
        <w:pStyle w:val="NoSpacing"/>
        <w:spacing w:after="120"/>
        <w:ind w:left="144"/>
        <w:rPr>
          <w:i/>
          <w:sz w:val="20"/>
          <w:szCs w:val="20"/>
        </w:rPr>
      </w:pPr>
      <w:r w:rsidRPr="002165BB">
        <w:rPr>
          <w:i/>
          <w:sz w:val="20"/>
          <w:szCs w:val="20"/>
        </w:rPr>
        <w:t>Source: Burning Glass</w:t>
      </w:r>
    </w:p>
    <w:p w14:paraId="16F635D0" w14:textId="13B5C24A" w:rsidR="00B53E4A" w:rsidRDefault="00B53E4A" w:rsidP="002155A4">
      <w:pPr>
        <w:pStyle w:val="Heading1"/>
      </w:pPr>
      <w:r>
        <w:t>Educational Supply</w:t>
      </w:r>
    </w:p>
    <w:p w14:paraId="2169AAD2" w14:textId="67F55900" w:rsidR="0096674A" w:rsidRPr="0096674A" w:rsidRDefault="0096674A" w:rsidP="0079703F">
      <w:pPr>
        <w:spacing w:after="120" w:line="240" w:lineRule="auto"/>
      </w:pPr>
      <w:r>
        <w:t>On the supply side, for Fire Academy Programs (TOP 2133.5</w:t>
      </w:r>
      <w:r w:rsidRPr="007D1F91">
        <w:t>0)</w:t>
      </w:r>
      <w:r w:rsidR="0009605B">
        <w:t>, there are two</w:t>
      </w:r>
      <w:r>
        <w:t xml:space="preserve"> community colleg</w:t>
      </w:r>
      <w:r w:rsidR="0009605B">
        <w:t xml:space="preserve">es in the Bay region issuing 24 awards </w:t>
      </w:r>
      <w:r>
        <w:t xml:space="preserve">annually.  Two of these colleges are in the Santa Cruz – Monterey sub-region, </w:t>
      </w:r>
      <w:r w:rsidR="0009605B">
        <w:t xml:space="preserve">but neither college has issued </w:t>
      </w:r>
      <w:r>
        <w:t>awards</w:t>
      </w:r>
      <w:r w:rsidR="0009605B">
        <w:t xml:space="preserve"> based on available data.  Nine colleges in the region have students taking courses on the Fire Academy TOP Code</w:t>
      </w:r>
      <w:r>
        <w:t>.</w:t>
      </w:r>
    </w:p>
    <w:p w14:paraId="20921463" w14:textId="4555012F" w:rsidR="00B53E4A" w:rsidRPr="00552133" w:rsidRDefault="00B87926" w:rsidP="00A56CE1">
      <w:pPr>
        <w:pStyle w:val="NoSpacing"/>
        <w:spacing w:after="60"/>
      </w:pPr>
      <w:r>
        <w:rPr>
          <w:b/>
        </w:rPr>
        <w:t>Table 6</w:t>
      </w:r>
      <w:r w:rsidR="00B53E4A" w:rsidRPr="00552133">
        <w:rPr>
          <w:b/>
        </w:rPr>
        <w:t xml:space="preserve">. </w:t>
      </w:r>
      <w:r w:rsidR="008409A0">
        <w:rPr>
          <w:b/>
        </w:rPr>
        <w:t xml:space="preserve">Number of </w:t>
      </w:r>
      <w:r w:rsidR="00AC2FAE">
        <w:rPr>
          <w:b/>
        </w:rPr>
        <w:t>Degrees and Certificates</w:t>
      </w:r>
      <w:r w:rsidR="00A56CE1">
        <w:rPr>
          <w:b/>
        </w:rPr>
        <w:t xml:space="preserve"> </w:t>
      </w:r>
      <w:r w:rsidR="005A7931">
        <w:rPr>
          <w:b/>
        </w:rPr>
        <w:t>and</w:t>
      </w:r>
      <w:r w:rsidR="0016622A">
        <w:rPr>
          <w:b/>
        </w:rPr>
        <w:t xml:space="preserve"> Headcount </w:t>
      </w:r>
      <w:r w:rsidR="009D39E7">
        <w:rPr>
          <w:b/>
        </w:rPr>
        <w:t xml:space="preserve">on </w:t>
      </w:r>
      <w:r w:rsidR="0096674A">
        <w:rPr>
          <w:b/>
        </w:rPr>
        <w:t xml:space="preserve">TOP </w:t>
      </w:r>
      <w:r w:rsidR="0092699C">
        <w:rPr>
          <w:b/>
        </w:rPr>
        <w:t>2</w:t>
      </w:r>
      <w:r w:rsidR="0077259B">
        <w:rPr>
          <w:b/>
        </w:rPr>
        <w:t xml:space="preserve">133.50 </w:t>
      </w:r>
      <w:r w:rsidR="0096674A">
        <w:rPr>
          <w:b/>
        </w:rPr>
        <w:t xml:space="preserve">- </w:t>
      </w:r>
      <w:r w:rsidR="00F41D29">
        <w:rPr>
          <w:b/>
        </w:rPr>
        <w:t>Fire Academy</w:t>
      </w:r>
    </w:p>
    <w:tbl>
      <w:tblPr>
        <w:tblW w:w="78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530"/>
        <w:gridCol w:w="1530"/>
        <w:gridCol w:w="1530"/>
        <w:gridCol w:w="3240"/>
      </w:tblGrid>
      <w:tr w:rsidR="00C309E6" w:rsidRPr="008409A0" w14:paraId="2A1F174C" w14:textId="4158FE40" w:rsidTr="00D8494B">
        <w:trPr>
          <w:trHeight w:val="305"/>
        </w:trPr>
        <w:tc>
          <w:tcPr>
            <w:tcW w:w="1530" w:type="dxa"/>
            <w:tcBorders>
              <w:bottom w:val="nil"/>
              <w:right w:val="single" w:sz="4" w:space="0" w:color="BFBFBF" w:themeColor="background1" w:themeShade="BF"/>
            </w:tcBorders>
            <w:shd w:val="clear" w:color="auto" w:fill="D9D9D9" w:themeFill="background1" w:themeFillShade="D9"/>
            <w:noWrap/>
            <w:vAlign w:val="center"/>
            <w:hideMark/>
          </w:tcPr>
          <w:p w14:paraId="1F24D78F" w14:textId="167C7FA5" w:rsidR="00C309E6" w:rsidRPr="007C6413" w:rsidRDefault="00C309E6" w:rsidP="00C5208C">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College</w:t>
            </w:r>
          </w:p>
        </w:tc>
        <w:tc>
          <w:tcPr>
            <w:tcW w:w="153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14:paraId="18838924" w14:textId="25CB934A" w:rsidR="00C309E6" w:rsidRPr="007C6413" w:rsidRDefault="00C309E6" w:rsidP="00C5208C">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Sub-Region</w:t>
            </w:r>
          </w:p>
        </w:tc>
        <w:tc>
          <w:tcPr>
            <w:tcW w:w="153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hideMark/>
          </w:tcPr>
          <w:p w14:paraId="18D71ED7" w14:textId="5B73AD0A" w:rsidR="00C309E6" w:rsidRPr="007C6413" w:rsidRDefault="00C309E6" w:rsidP="00C5208C">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CC Headcount</w:t>
            </w:r>
          </w:p>
        </w:tc>
        <w:tc>
          <w:tcPr>
            <w:tcW w:w="3240" w:type="dxa"/>
            <w:tcBorders>
              <w:left w:val="single" w:sz="4" w:space="0" w:color="BFBFBF" w:themeColor="background1" w:themeShade="BF"/>
              <w:bottom w:val="nil"/>
              <w:right w:val="nil"/>
            </w:tcBorders>
            <w:shd w:val="clear" w:color="auto" w:fill="D9D9D9" w:themeFill="background1" w:themeFillShade="D9"/>
            <w:vAlign w:val="center"/>
            <w:hideMark/>
          </w:tcPr>
          <w:p w14:paraId="597A11C4" w14:textId="3777C4AE" w:rsidR="00C309E6" w:rsidRPr="007C6413" w:rsidRDefault="00C309E6" w:rsidP="00C309E6">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Certificates or Other Credit Awards</w:t>
            </w:r>
          </w:p>
        </w:tc>
      </w:tr>
      <w:tr w:rsidR="00C309E6" w:rsidRPr="000444C7" w14:paraId="7F027655" w14:textId="4B01036D" w:rsidTr="00D8494B">
        <w:trPr>
          <w:trHeight w:val="20"/>
        </w:trPr>
        <w:tc>
          <w:tcPr>
            <w:tcW w:w="1530" w:type="dxa"/>
            <w:tcBorders>
              <w:top w:val="nil"/>
              <w:bottom w:val="nil"/>
              <w:right w:val="single" w:sz="4" w:space="0" w:color="BFBFBF" w:themeColor="background1" w:themeShade="BF"/>
            </w:tcBorders>
            <w:shd w:val="clear" w:color="auto" w:fill="auto"/>
            <w:noWrap/>
            <w:vAlign w:val="center"/>
          </w:tcPr>
          <w:p w14:paraId="0439EFE2" w14:textId="2B20F0CB" w:rsidR="00C309E6" w:rsidRDefault="00C309E6" w:rsidP="00C5208C">
            <w:pPr>
              <w:spacing w:after="0" w:line="240" w:lineRule="auto"/>
              <w:rPr>
                <w:rFonts w:asciiTheme="minorHAnsi" w:hAnsiTheme="minorHAnsi"/>
                <w:sz w:val="21"/>
                <w:szCs w:val="21"/>
              </w:rPr>
            </w:pPr>
            <w:r>
              <w:rPr>
                <w:rFonts w:asciiTheme="minorHAnsi" w:hAnsiTheme="minorHAnsi"/>
                <w:sz w:val="21"/>
                <w:szCs w:val="21"/>
              </w:rPr>
              <w:t>Chabot</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DB465ED" w14:textId="7963AD5E" w:rsidR="00C309E6" w:rsidRDefault="00C309E6" w:rsidP="00C5208C">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CB7111C" w14:textId="3C0AA80D" w:rsidR="00C309E6"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c>
          <w:tcPr>
            <w:tcW w:w="3240" w:type="dxa"/>
            <w:tcBorders>
              <w:top w:val="nil"/>
              <w:left w:val="single" w:sz="4" w:space="0" w:color="BFBFBF" w:themeColor="background1" w:themeShade="BF"/>
              <w:bottom w:val="nil"/>
              <w:right w:val="nil"/>
            </w:tcBorders>
            <w:shd w:val="clear" w:color="auto" w:fill="auto"/>
            <w:noWrap/>
            <w:vAlign w:val="center"/>
          </w:tcPr>
          <w:p w14:paraId="0AA07625" w14:textId="7E19B07F" w:rsidR="00C309E6"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10C26780" w14:textId="27A32028" w:rsidTr="00D8494B">
        <w:trPr>
          <w:trHeight w:val="20"/>
        </w:trPr>
        <w:tc>
          <w:tcPr>
            <w:tcW w:w="1530" w:type="dxa"/>
            <w:tcBorders>
              <w:top w:val="nil"/>
              <w:bottom w:val="nil"/>
              <w:right w:val="single" w:sz="4" w:space="0" w:color="BFBFBF" w:themeColor="background1" w:themeShade="BF"/>
            </w:tcBorders>
            <w:shd w:val="clear" w:color="auto" w:fill="auto"/>
            <w:noWrap/>
            <w:vAlign w:val="center"/>
          </w:tcPr>
          <w:p w14:paraId="1A193087" w14:textId="2439A173" w:rsidR="00C309E6" w:rsidRPr="007C6413" w:rsidRDefault="00C309E6" w:rsidP="00C5208C">
            <w:pPr>
              <w:spacing w:after="0" w:line="240" w:lineRule="auto"/>
              <w:rPr>
                <w:rFonts w:asciiTheme="minorHAnsi" w:hAnsiTheme="minorHAnsi"/>
                <w:sz w:val="21"/>
                <w:szCs w:val="21"/>
              </w:rPr>
            </w:pPr>
            <w:r>
              <w:rPr>
                <w:rFonts w:asciiTheme="minorHAnsi" w:hAnsiTheme="minorHAnsi"/>
                <w:sz w:val="21"/>
                <w:szCs w:val="21"/>
              </w:rPr>
              <w:t>Foothill</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53676D81" w14:textId="11986AAF" w:rsidR="00C309E6" w:rsidRPr="007C6413" w:rsidRDefault="00C309E6" w:rsidP="00C5208C">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1E0CC20" w14:textId="2E2846BE" w:rsidR="00C309E6" w:rsidRPr="007C6413"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368</w:t>
            </w:r>
          </w:p>
        </w:tc>
        <w:tc>
          <w:tcPr>
            <w:tcW w:w="3240" w:type="dxa"/>
            <w:tcBorders>
              <w:top w:val="nil"/>
              <w:left w:val="single" w:sz="4" w:space="0" w:color="BFBFBF" w:themeColor="background1" w:themeShade="BF"/>
              <w:bottom w:val="nil"/>
              <w:right w:val="nil"/>
            </w:tcBorders>
            <w:shd w:val="clear" w:color="auto" w:fill="auto"/>
            <w:noWrap/>
            <w:vAlign w:val="center"/>
          </w:tcPr>
          <w:p w14:paraId="7047A4C0" w14:textId="6C08ABDD" w:rsidR="00C309E6" w:rsidRPr="007C6413"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6C96F701" w14:textId="294D81FB" w:rsidTr="00D8494B">
        <w:trPr>
          <w:trHeight w:val="20"/>
        </w:trPr>
        <w:tc>
          <w:tcPr>
            <w:tcW w:w="1530" w:type="dxa"/>
            <w:tcBorders>
              <w:top w:val="nil"/>
              <w:bottom w:val="nil"/>
              <w:right w:val="single" w:sz="4" w:space="0" w:color="BFBFBF" w:themeColor="background1" w:themeShade="BF"/>
            </w:tcBorders>
            <w:shd w:val="clear" w:color="auto" w:fill="auto"/>
            <w:noWrap/>
            <w:vAlign w:val="center"/>
          </w:tcPr>
          <w:p w14:paraId="0D095200" w14:textId="4CA32E1E" w:rsidR="00C309E6" w:rsidRPr="007C6413" w:rsidRDefault="00C309E6" w:rsidP="002E4DAF">
            <w:pPr>
              <w:spacing w:after="0" w:line="240" w:lineRule="auto"/>
              <w:rPr>
                <w:rFonts w:asciiTheme="minorHAnsi" w:hAnsiTheme="minorHAnsi"/>
                <w:sz w:val="21"/>
                <w:szCs w:val="21"/>
              </w:rPr>
            </w:pPr>
            <w:proofErr w:type="spellStart"/>
            <w:r>
              <w:rPr>
                <w:rFonts w:asciiTheme="minorHAnsi" w:hAnsiTheme="minorHAnsi"/>
                <w:sz w:val="21"/>
                <w:szCs w:val="21"/>
              </w:rPr>
              <w:t>Hartnell</w:t>
            </w:r>
            <w:proofErr w:type="spellEnd"/>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99B7BD4" w14:textId="07CA68E4" w:rsidR="00C309E6" w:rsidRPr="007C6413" w:rsidRDefault="00C309E6" w:rsidP="002E4DAF">
            <w:pPr>
              <w:spacing w:after="0" w:line="240" w:lineRule="auto"/>
              <w:rPr>
                <w:rFonts w:asciiTheme="minorHAnsi" w:eastAsia="Times New Roman" w:hAnsiTheme="minorHAnsi"/>
                <w:sz w:val="21"/>
                <w:szCs w:val="21"/>
              </w:rPr>
            </w:pPr>
            <w:r>
              <w:rPr>
                <w:rFonts w:asciiTheme="minorHAnsi" w:eastAsia="Times New Roman" w:hAnsiTheme="minorHAnsi"/>
                <w:sz w:val="21"/>
                <w:szCs w:val="21"/>
              </w:rPr>
              <w:t>SC &amp; Monterey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1CEA45D7" w14:textId="3212749E" w:rsidR="00C309E6" w:rsidRPr="007C6413"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547</w:t>
            </w:r>
          </w:p>
        </w:tc>
        <w:tc>
          <w:tcPr>
            <w:tcW w:w="3240" w:type="dxa"/>
            <w:tcBorders>
              <w:top w:val="nil"/>
              <w:left w:val="single" w:sz="4" w:space="0" w:color="BFBFBF" w:themeColor="background1" w:themeShade="BF"/>
              <w:bottom w:val="nil"/>
              <w:right w:val="nil"/>
            </w:tcBorders>
            <w:shd w:val="clear" w:color="auto" w:fill="auto"/>
            <w:noWrap/>
            <w:vAlign w:val="center"/>
          </w:tcPr>
          <w:p w14:paraId="4B3D1A86" w14:textId="0A7B63FC" w:rsidR="00C309E6" w:rsidRPr="007C6413"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590728EE" w14:textId="5E976230" w:rsidTr="00D8494B">
        <w:trPr>
          <w:trHeight w:val="20"/>
        </w:trPr>
        <w:tc>
          <w:tcPr>
            <w:tcW w:w="1530" w:type="dxa"/>
            <w:tcBorders>
              <w:top w:val="nil"/>
              <w:bottom w:val="nil"/>
              <w:right w:val="single" w:sz="4" w:space="0" w:color="BFBFBF" w:themeColor="background1" w:themeShade="BF"/>
            </w:tcBorders>
            <w:shd w:val="clear" w:color="auto" w:fill="auto"/>
            <w:noWrap/>
            <w:vAlign w:val="center"/>
          </w:tcPr>
          <w:p w14:paraId="65175DD6" w14:textId="632E24DD"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Merritt</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4C77BA33" w14:textId="538815DA"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282F201A" w14:textId="205B411D"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85</w:t>
            </w:r>
          </w:p>
        </w:tc>
        <w:tc>
          <w:tcPr>
            <w:tcW w:w="3240" w:type="dxa"/>
            <w:tcBorders>
              <w:top w:val="nil"/>
              <w:left w:val="single" w:sz="4" w:space="0" w:color="BFBFBF" w:themeColor="background1" w:themeShade="BF"/>
              <w:bottom w:val="nil"/>
              <w:right w:val="nil"/>
            </w:tcBorders>
            <w:shd w:val="clear" w:color="auto" w:fill="auto"/>
            <w:noWrap/>
            <w:vAlign w:val="center"/>
          </w:tcPr>
          <w:p w14:paraId="23C2A9B8" w14:textId="2DE1614A"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6CF82601" w14:textId="12AA35C9" w:rsidTr="00D8494B">
        <w:trPr>
          <w:trHeight w:val="20"/>
        </w:trPr>
        <w:tc>
          <w:tcPr>
            <w:tcW w:w="1530" w:type="dxa"/>
            <w:tcBorders>
              <w:top w:val="nil"/>
              <w:bottom w:val="nil"/>
              <w:right w:val="single" w:sz="4" w:space="0" w:color="BFBFBF" w:themeColor="background1" w:themeShade="BF"/>
            </w:tcBorders>
            <w:shd w:val="clear" w:color="auto" w:fill="auto"/>
            <w:noWrap/>
            <w:vAlign w:val="center"/>
          </w:tcPr>
          <w:p w14:paraId="7E4B7BC2" w14:textId="1AD79C33"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 xml:space="preserve">Los </w:t>
            </w:r>
            <w:proofErr w:type="spellStart"/>
            <w:r>
              <w:rPr>
                <w:rFonts w:asciiTheme="minorHAnsi" w:hAnsiTheme="minorHAnsi"/>
                <w:sz w:val="21"/>
                <w:szCs w:val="21"/>
              </w:rPr>
              <w:t>Medanos</w:t>
            </w:r>
            <w:proofErr w:type="spellEnd"/>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0D7B252" w14:textId="5C90080C"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5DE0BC8B" w14:textId="1C91A50E"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c>
          <w:tcPr>
            <w:tcW w:w="3240" w:type="dxa"/>
            <w:tcBorders>
              <w:top w:val="nil"/>
              <w:left w:val="single" w:sz="4" w:space="0" w:color="BFBFBF" w:themeColor="background1" w:themeShade="BF"/>
              <w:bottom w:val="nil"/>
              <w:right w:val="nil"/>
            </w:tcBorders>
            <w:shd w:val="clear" w:color="auto" w:fill="auto"/>
            <w:noWrap/>
            <w:vAlign w:val="center"/>
          </w:tcPr>
          <w:p w14:paraId="5C8E8E36" w14:textId="330A0292"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C309E6" w:rsidRPr="000444C7" w14:paraId="506988AD" w14:textId="31623804" w:rsidTr="00D8494B">
        <w:trPr>
          <w:trHeight w:val="20"/>
        </w:trPr>
        <w:tc>
          <w:tcPr>
            <w:tcW w:w="1530" w:type="dxa"/>
            <w:tcBorders>
              <w:top w:val="nil"/>
              <w:bottom w:val="nil"/>
              <w:right w:val="single" w:sz="4" w:space="0" w:color="BFBFBF" w:themeColor="background1" w:themeShade="BF"/>
            </w:tcBorders>
            <w:shd w:val="clear" w:color="auto" w:fill="auto"/>
            <w:noWrap/>
            <w:vAlign w:val="center"/>
          </w:tcPr>
          <w:p w14:paraId="569896DA" w14:textId="47F14CE0"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Mission</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6E00DFA" w14:textId="6210826F" w:rsidR="00C309E6" w:rsidRDefault="00C309E6" w:rsidP="002E4DAF">
            <w:pPr>
              <w:spacing w:after="0" w:line="240" w:lineRule="auto"/>
              <w:rPr>
                <w:rFonts w:asciiTheme="minorHAnsi" w:hAnsiTheme="minorHAnsi"/>
                <w:sz w:val="21"/>
                <w:szCs w:val="21"/>
              </w:rPr>
            </w:pPr>
            <w:r>
              <w:rPr>
                <w:rFonts w:asciiTheme="minorHAnsi" w:eastAsia="Times New Roman" w:hAnsiTheme="minorHAnsi"/>
                <w:sz w:val="21"/>
                <w:szCs w:val="21"/>
              </w:rPr>
              <w:t>Silicon Valley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C84EF0F" w14:textId="3003CA0E"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w:t>
            </w:r>
          </w:p>
        </w:tc>
        <w:tc>
          <w:tcPr>
            <w:tcW w:w="3240" w:type="dxa"/>
            <w:tcBorders>
              <w:top w:val="nil"/>
              <w:left w:val="single" w:sz="4" w:space="0" w:color="BFBFBF" w:themeColor="background1" w:themeShade="BF"/>
              <w:bottom w:val="nil"/>
              <w:right w:val="nil"/>
            </w:tcBorders>
            <w:shd w:val="clear" w:color="auto" w:fill="auto"/>
            <w:noWrap/>
            <w:vAlign w:val="center"/>
          </w:tcPr>
          <w:p w14:paraId="38DD1061" w14:textId="295CA517"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1BF7FE39" w14:textId="7DB122DE" w:rsidTr="00D8494B">
        <w:trPr>
          <w:trHeight w:val="20"/>
        </w:trPr>
        <w:tc>
          <w:tcPr>
            <w:tcW w:w="1530" w:type="dxa"/>
            <w:tcBorders>
              <w:top w:val="nil"/>
              <w:bottom w:val="nil"/>
              <w:right w:val="single" w:sz="4" w:space="0" w:color="BFBFBF" w:themeColor="background1" w:themeShade="BF"/>
            </w:tcBorders>
            <w:shd w:val="clear" w:color="auto" w:fill="auto"/>
            <w:noWrap/>
            <w:vAlign w:val="center"/>
          </w:tcPr>
          <w:p w14:paraId="713A7FE5" w14:textId="75FB282B"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Monterey</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6C497AAF" w14:textId="70204427" w:rsidR="00C309E6" w:rsidRDefault="00C309E6" w:rsidP="004118ED">
            <w:pPr>
              <w:spacing w:after="0" w:line="240" w:lineRule="auto"/>
              <w:rPr>
                <w:rFonts w:asciiTheme="minorHAnsi" w:hAnsiTheme="minorHAnsi"/>
                <w:sz w:val="21"/>
                <w:szCs w:val="21"/>
              </w:rPr>
            </w:pPr>
            <w:r>
              <w:rPr>
                <w:rFonts w:asciiTheme="minorHAnsi" w:eastAsia="Times New Roman" w:hAnsiTheme="minorHAnsi"/>
                <w:sz w:val="21"/>
                <w:szCs w:val="21"/>
              </w:rPr>
              <w:t>SC &amp; Monterey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59F48D93" w14:textId="2BBD6D43"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90</w:t>
            </w:r>
          </w:p>
        </w:tc>
        <w:tc>
          <w:tcPr>
            <w:tcW w:w="3240" w:type="dxa"/>
            <w:tcBorders>
              <w:top w:val="nil"/>
              <w:left w:val="single" w:sz="4" w:space="0" w:color="BFBFBF" w:themeColor="background1" w:themeShade="BF"/>
              <w:bottom w:val="nil"/>
              <w:right w:val="nil"/>
            </w:tcBorders>
            <w:shd w:val="clear" w:color="auto" w:fill="auto"/>
            <w:noWrap/>
            <w:vAlign w:val="center"/>
          </w:tcPr>
          <w:p w14:paraId="051E045F" w14:textId="5B50A218"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100389E5" w14:textId="29C10B4B" w:rsidTr="00D8494B">
        <w:trPr>
          <w:trHeight w:val="20"/>
        </w:trPr>
        <w:tc>
          <w:tcPr>
            <w:tcW w:w="1530" w:type="dxa"/>
            <w:tcBorders>
              <w:top w:val="nil"/>
              <w:bottom w:val="nil"/>
              <w:right w:val="single" w:sz="4" w:space="0" w:color="BFBFBF" w:themeColor="background1" w:themeShade="BF"/>
            </w:tcBorders>
            <w:shd w:val="clear" w:color="auto" w:fill="auto"/>
            <w:noWrap/>
            <w:vAlign w:val="center"/>
          </w:tcPr>
          <w:p w14:paraId="0CF1CBAA" w14:textId="714D5E14"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San Mateo</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31EF1A1" w14:textId="3CB119A2"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Mid-Peni</w:t>
            </w:r>
            <w:r w:rsidR="003A698D">
              <w:rPr>
                <w:rFonts w:asciiTheme="minorHAnsi" w:hAnsiTheme="minorHAnsi"/>
                <w:sz w:val="21"/>
                <w:szCs w:val="21"/>
              </w:rPr>
              <w:t>n</w:t>
            </w:r>
            <w:r>
              <w:rPr>
                <w:rFonts w:asciiTheme="minorHAnsi" w:hAnsiTheme="minorHAnsi"/>
                <w:sz w:val="21"/>
                <w:szCs w:val="21"/>
              </w:rPr>
              <w:t>sula</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5288228" w14:textId="68E49BB9"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63</w:t>
            </w:r>
          </w:p>
        </w:tc>
        <w:tc>
          <w:tcPr>
            <w:tcW w:w="3240" w:type="dxa"/>
            <w:tcBorders>
              <w:top w:val="nil"/>
              <w:left w:val="single" w:sz="4" w:space="0" w:color="BFBFBF" w:themeColor="background1" w:themeShade="BF"/>
              <w:bottom w:val="nil"/>
              <w:right w:val="nil"/>
            </w:tcBorders>
            <w:shd w:val="clear" w:color="auto" w:fill="auto"/>
            <w:noWrap/>
            <w:vAlign w:val="center"/>
          </w:tcPr>
          <w:p w14:paraId="7141475E" w14:textId="434CB1D7"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33CD54BC" w14:textId="071C507D" w:rsidTr="00D8494B">
        <w:trPr>
          <w:trHeight w:val="20"/>
        </w:trPr>
        <w:tc>
          <w:tcPr>
            <w:tcW w:w="1530" w:type="dxa"/>
            <w:tcBorders>
              <w:top w:val="nil"/>
              <w:bottom w:val="nil"/>
              <w:right w:val="single" w:sz="4" w:space="0" w:color="BFBFBF" w:themeColor="background1" w:themeShade="BF"/>
            </w:tcBorders>
            <w:shd w:val="clear" w:color="auto" w:fill="auto"/>
            <w:noWrap/>
            <w:vAlign w:val="center"/>
          </w:tcPr>
          <w:p w14:paraId="13E09D5D" w14:textId="00AFA3BE"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2B01A54B" w14:textId="6D295EC7"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North</w:t>
            </w:r>
            <w:r w:rsidRPr="007C6413">
              <w:rPr>
                <w:rFonts w:asciiTheme="minorHAnsi" w:hAnsiTheme="minorHAnsi"/>
                <w:sz w:val="21"/>
                <w:szCs w:val="21"/>
              </w:rPr>
              <w:t xml:space="preserve">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792F0409" w14:textId="6725DF52"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73</w:t>
            </w:r>
          </w:p>
        </w:tc>
        <w:tc>
          <w:tcPr>
            <w:tcW w:w="3240" w:type="dxa"/>
            <w:tcBorders>
              <w:top w:val="nil"/>
              <w:left w:val="single" w:sz="4" w:space="0" w:color="BFBFBF" w:themeColor="background1" w:themeShade="BF"/>
              <w:bottom w:val="nil"/>
              <w:right w:val="nil"/>
            </w:tcBorders>
            <w:shd w:val="clear" w:color="auto" w:fill="auto"/>
            <w:noWrap/>
            <w:vAlign w:val="center"/>
          </w:tcPr>
          <w:p w14:paraId="6849CE0D" w14:textId="022DFC49"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w:t>
            </w:r>
          </w:p>
        </w:tc>
      </w:tr>
      <w:tr w:rsidR="00C309E6" w:rsidRPr="005E4F2B" w14:paraId="5A9FDC2C" w14:textId="4DDC4941" w:rsidTr="00D8494B">
        <w:trPr>
          <w:trHeight w:val="198"/>
        </w:trPr>
        <w:tc>
          <w:tcPr>
            <w:tcW w:w="3060" w:type="dxa"/>
            <w:gridSpan w:val="2"/>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2E5A4601" w14:textId="0EC0C4BE" w:rsidR="00C309E6" w:rsidRPr="007C6413" w:rsidRDefault="00C309E6" w:rsidP="004118ED">
            <w:pPr>
              <w:spacing w:after="0" w:line="240" w:lineRule="auto"/>
              <w:rPr>
                <w:rFonts w:asciiTheme="minorHAnsi" w:hAnsiTheme="minorHAnsi"/>
                <w:b/>
                <w:sz w:val="21"/>
                <w:szCs w:val="21"/>
              </w:rPr>
            </w:pPr>
            <w:r w:rsidRPr="007C6413">
              <w:rPr>
                <w:rFonts w:asciiTheme="minorHAnsi" w:hAnsiTheme="minorHAnsi"/>
                <w:b/>
                <w:sz w:val="21"/>
                <w:szCs w:val="21"/>
              </w:rPr>
              <w:t>Total for Bay Region</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583C4EBB" w14:textId="16A2DF79" w:rsidR="00C309E6" w:rsidRPr="007C6413" w:rsidRDefault="00C309E6" w:rsidP="004118E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1,335</w:t>
            </w:r>
          </w:p>
        </w:tc>
        <w:tc>
          <w:tcPr>
            <w:tcW w:w="3240" w:type="dxa"/>
            <w:tcBorders>
              <w:top w:val="nil"/>
              <w:left w:val="single" w:sz="4" w:space="0" w:color="BFBFBF" w:themeColor="background1" w:themeShade="BF"/>
              <w:bottom w:val="nil"/>
              <w:right w:val="nil"/>
            </w:tcBorders>
            <w:shd w:val="clear" w:color="auto" w:fill="BFBFBF" w:themeFill="background1" w:themeFillShade="BF"/>
            <w:noWrap/>
            <w:vAlign w:val="center"/>
          </w:tcPr>
          <w:p w14:paraId="0BE9BDA0" w14:textId="6BC48034" w:rsidR="00C309E6" w:rsidRPr="007C6413" w:rsidRDefault="00C309E6" w:rsidP="004118ED">
            <w:pPr>
              <w:spacing w:after="0" w:line="240" w:lineRule="auto"/>
              <w:jc w:val="center"/>
              <w:rPr>
                <w:rFonts w:asciiTheme="minorHAnsi" w:hAnsiTheme="minorHAnsi"/>
                <w:b/>
                <w:sz w:val="21"/>
                <w:szCs w:val="21"/>
              </w:rPr>
            </w:pPr>
            <w:r>
              <w:rPr>
                <w:rFonts w:asciiTheme="minorHAnsi" w:hAnsiTheme="minorHAnsi"/>
                <w:b/>
                <w:sz w:val="21"/>
                <w:szCs w:val="21"/>
              </w:rPr>
              <w:t>24</w:t>
            </w:r>
          </w:p>
        </w:tc>
      </w:tr>
      <w:tr w:rsidR="00C309E6" w:rsidRPr="005E4F2B" w14:paraId="35361C12" w14:textId="0957CBA4" w:rsidTr="00D8494B">
        <w:trPr>
          <w:trHeight w:val="153"/>
        </w:trPr>
        <w:tc>
          <w:tcPr>
            <w:tcW w:w="3060" w:type="dxa"/>
            <w:gridSpan w:val="2"/>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36D8BDDC" w14:textId="5645540C" w:rsidR="00C309E6" w:rsidRPr="007C6413" w:rsidRDefault="00C309E6" w:rsidP="00A56CE1">
            <w:pPr>
              <w:spacing w:after="0" w:line="240" w:lineRule="auto"/>
              <w:rPr>
                <w:rFonts w:asciiTheme="minorHAnsi" w:hAnsiTheme="minorHAnsi"/>
                <w:b/>
                <w:sz w:val="21"/>
                <w:szCs w:val="21"/>
              </w:rPr>
            </w:pPr>
            <w:r>
              <w:rPr>
                <w:rFonts w:asciiTheme="minorHAnsi" w:hAnsiTheme="minorHAnsi"/>
                <w:b/>
                <w:sz w:val="21"/>
                <w:szCs w:val="21"/>
              </w:rPr>
              <w:t xml:space="preserve">Total for </w:t>
            </w:r>
            <w:r w:rsidR="00A56CE1">
              <w:rPr>
                <w:rFonts w:asciiTheme="minorHAnsi" w:hAnsiTheme="minorHAnsi"/>
                <w:b/>
                <w:sz w:val="21"/>
                <w:szCs w:val="21"/>
              </w:rPr>
              <w:t>SC Monterey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33F86136" w14:textId="6738C78A" w:rsidR="00C309E6" w:rsidRDefault="00A56CE1" w:rsidP="004118E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637</w:t>
            </w:r>
          </w:p>
        </w:tc>
        <w:tc>
          <w:tcPr>
            <w:tcW w:w="3240" w:type="dxa"/>
            <w:tcBorders>
              <w:top w:val="nil"/>
              <w:left w:val="single" w:sz="4" w:space="0" w:color="BFBFBF" w:themeColor="background1" w:themeShade="BF"/>
              <w:bottom w:val="nil"/>
              <w:right w:val="nil"/>
            </w:tcBorders>
            <w:shd w:val="clear" w:color="auto" w:fill="BFBFBF" w:themeFill="background1" w:themeFillShade="BF"/>
            <w:noWrap/>
            <w:vAlign w:val="center"/>
          </w:tcPr>
          <w:p w14:paraId="1940DA44" w14:textId="4CCE08DB" w:rsidR="00C309E6" w:rsidRPr="007C6413" w:rsidRDefault="00A56CE1" w:rsidP="004118ED">
            <w:pPr>
              <w:spacing w:after="0" w:line="240" w:lineRule="auto"/>
              <w:jc w:val="center"/>
              <w:rPr>
                <w:rFonts w:asciiTheme="minorHAnsi" w:hAnsiTheme="minorHAnsi"/>
                <w:b/>
                <w:sz w:val="21"/>
                <w:szCs w:val="21"/>
              </w:rPr>
            </w:pPr>
            <w:r>
              <w:rPr>
                <w:rFonts w:asciiTheme="minorHAnsi" w:hAnsiTheme="minorHAnsi"/>
                <w:b/>
                <w:sz w:val="21"/>
                <w:szCs w:val="21"/>
              </w:rPr>
              <w:t>0</w:t>
            </w:r>
          </w:p>
        </w:tc>
      </w:tr>
    </w:tbl>
    <w:p w14:paraId="6D34E871" w14:textId="7D1E78A5" w:rsidR="009D39E7" w:rsidRDefault="0087274C" w:rsidP="00004D9A">
      <w:pPr>
        <w:pStyle w:val="Heading1"/>
        <w:spacing w:before="0"/>
        <w:ind w:left="144"/>
        <w:rPr>
          <w:b w:val="0"/>
          <w:i/>
          <w:sz w:val="20"/>
          <w:szCs w:val="20"/>
        </w:rPr>
      </w:pPr>
      <w:r>
        <w:rPr>
          <w:b w:val="0"/>
          <w:i/>
          <w:sz w:val="20"/>
          <w:szCs w:val="20"/>
        </w:rPr>
        <w:lastRenderedPageBreak/>
        <w:t xml:space="preserve">Source: Data Mart and </w:t>
      </w:r>
      <w:proofErr w:type="spellStart"/>
      <w:r>
        <w:rPr>
          <w:b w:val="0"/>
          <w:i/>
          <w:sz w:val="20"/>
          <w:szCs w:val="20"/>
        </w:rPr>
        <w:t>Launchboard</w:t>
      </w:r>
      <w:proofErr w:type="spellEnd"/>
    </w:p>
    <w:p w14:paraId="3272B2D0" w14:textId="3822C3DA" w:rsidR="0087274C" w:rsidRDefault="0087274C" w:rsidP="001366E7">
      <w:pPr>
        <w:spacing w:line="240" w:lineRule="auto"/>
        <w:ind w:left="144"/>
        <w:rPr>
          <w:sz w:val="20"/>
          <w:szCs w:val="20"/>
        </w:rPr>
      </w:pPr>
      <w:r w:rsidRPr="0087274C">
        <w:rPr>
          <w:sz w:val="20"/>
          <w:szCs w:val="20"/>
        </w:rPr>
        <w:t xml:space="preserve">NOTE: </w:t>
      </w:r>
      <w:r>
        <w:rPr>
          <w:sz w:val="20"/>
          <w:szCs w:val="20"/>
        </w:rPr>
        <w:t>Headcount of students who took one or more courses</w:t>
      </w:r>
      <w:r w:rsidR="00006616">
        <w:rPr>
          <w:sz w:val="20"/>
          <w:szCs w:val="20"/>
        </w:rPr>
        <w:t xml:space="preserve"> </w:t>
      </w:r>
      <w:r>
        <w:rPr>
          <w:sz w:val="20"/>
          <w:szCs w:val="20"/>
        </w:rPr>
        <w:t>is for 2015-16.  Certificates for Community Colleges is</w:t>
      </w:r>
      <w:r w:rsidR="001366E7">
        <w:rPr>
          <w:sz w:val="20"/>
          <w:szCs w:val="20"/>
        </w:rPr>
        <w:t xml:space="preserve"> the annual average for 2014-17. </w:t>
      </w:r>
      <w:r w:rsidR="00266A78">
        <w:rPr>
          <w:sz w:val="20"/>
          <w:szCs w:val="20"/>
        </w:rPr>
        <w:t xml:space="preserve"> </w:t>
      </w:r>
      <w:r w:rsidR="00B76BC4">
        <w:rPr>
          <w:sz w:val="20"/>
          <w:szCs w:val="20"/>
        </w:rPr>
        <w:t>There are no Associate Degrees on this TOP code.</w:t>
      </w:r>
      <w:r w:rsidR="00A56CE1">
        <w:rPr>
          <w:sz w:val="20"/>
          <w:szCs w:val="20"/>
        </w:rPr>
        <w:t xml:space="preserve"> There appear to be no other educational institutes issuing awards in IPEDS.</w:t>
      </w:r>
    </w:p>
    <w:p w14:paraId="53D00345" w14:textId="77777777" w:rsidR="0040391C" w:rsidRDefault="0040391C" w:rsidP="0040391C">
      <w:pPr>
        <w:pStyle w:val="Heading1"/>
      </w:pPr>
      <w:r>
        <w:t>Gap Analysis</w:t>
      </w:r>
    </w:p>
    <w:p w14:paraId="549431A1" w14:textId="4D184EF4" w:rsidR="00830C49" w:rsidRDefault="0040391C" w:rsidP="0040391C">
      <w:pPr>
        <w:spacing w:line="240" w:lineRule="auto"/>
      </w:pPr>
      <w:r>
        <w:t xml:space="preserve">The labor market gap is large in the Bay region for </w:t>
      </w:r>
      <w:r w:rsidR="00C309E6">
        <w:t>these occupations</w:t>
      </w:r>
      <w:r>
        <w:t xml:space="preserve"> with annual openings of </w:t>
      </w:r>
      <w:r w:rsidR="0009605B">
        <w:t>547</w:t>
      </w:r>
      <w:r w:rsidR="00C309E6">
        <w:t xml:space="preserve"> and</w:t>
      </w:r>
      <w:r>
        <w:t xml:space="preserve"> annual supply of </w:t>
      </w:r>
      <w:r w:rsidR="00960FA2">
        <w:t>24</w:t>
      </w:r>
      <w:r w:rsidR="00C309E6">
        <w:t xml:space="preserve"> community college students. </w:t>
      </w:r>
      <w:r>
        <w:t>This represen</w:t>
      </w:r>
      <w:r w:rsidR="00604549">
        <w:t xml:space="preserve">ts an undersupply of </w:t>
      </w:r>
      <w:r w:rsidR="0009605B">
        <w:t>523</w:t>
      </w:r>
      <w:r>
        <w:t xml:space="preserve"> students. In the </w:t>
      </w:r>
      <w:r w:rsidR="00604549">
        <w:t xml:space="preserve">SC-Monterey sub-region, there are 85 annual openings and no annual supply </w:t>
      </w:r>
      <w:r w:rsidR="00C309E6">
        <w:t xml:space="preserve">on TOP 2133.50 </w:t>
      </w:r>
      <w:r w:rsidR="0009605B">
        <w:t>(</w:t>
      </w:r>
      <w:r w:rsidR="00C309E6">
        <w:t>Fire Academy</w:t>
      </w:r>
      <w:r w:rsidR="0009605B">
        <w:t>), for a gap of 85</w:t>
      </w:r>
      <w:r>
        <w:t xml:space="preserve">.  </w:t>
      </w:r>
    </w:p>
    <w:p w14:paraId="6E1A5311" w14:textId="6BCEFA43" w:rsidR="0040391C" w:rsidRDefault="00604549" w:rsidP="0040391C">
      <w:pPr>
        <w:spacing w:line="240" w:lineRule="auto"/>
      </w:pPr>
      <w:r>
        <w:t xml:space="preserve">However, there are 440 annual average awards on TOP code 2133.00 </w:t>
      </w:r>
      <w:r w:rsidR="0009605B">
        <w:t>(</w:t>
      </w:r>
      <w:r>
        <w:t>Fire Technology</w:t>
      </w:r>
      <w:r w:rsidR="0009605B">
        <w:t>)</w:t>
      </w:r>
      <w:r>
        <w:t xml:space="preserve"> in the Bay region and 26 annual average awards in the SC-Monterey sub-region</w:t>
      </w:r>
      <w:r w:rsidR="007D4460">
        <w:t xml:space="preserve"> (21 from Cabrillo and five from MPC)</w:t>
      </w:r>
      <w:r>
        <w:t xml:space="preserve">. If those </w:t>
      </w:r>
      <w:r w:rsidR="00830C49">
        <w:t xml:space="preserve">awards </w:t>
      </w:r>
      <w:r>
        <w:t>are taken into account</w:t>
      </w:r>
      <w:r w:rsidR="00636E31">
        <w:t xml:space="preserve"> and added to awards </w:t>
      </w:r>
      <w:r w:rsidR="0079703F">
        <w:t>for Fire Academy (TOP 2133.50)</w:t>
      </w:r>
      <w:r>
        <w:t>, the</w:t>
      </w:r>
      <w:r w:rsidR="00636E31">
        <w:t>n the regional gap shrinks to 83</w:t>
      </w:r>
      <w:r>
        <w:t xml:space="preserve">, and the sub-regional gap is 59.  </w:t>
      </w:r>
    </w:p>
    <w:p w14:paraId="1AE4D352" w14:textId="67060684" w:rsidR="002155A4" w:rsidRDefault="002155A4" w:rsidP="002155A4">
      <w:pPr>
        <w:pStyle w:val="Heading1"/>
      </w:pPr>
      <w:r>
        <w:t>Student Outcomes</w:t>
      </w:r>
    </w:p>
    <w:p w14:paraId="06DE8366" w14:textId="2777B93D" w:rsidR="0040391C" w:rsidRDefault="0040391C" w:rsidP="00027B73">
      <w:pPr>
        <w:spacing w:after="60" w:line="240" w:lineRule="auto"/>
      </w:pPr>
      <w:r>
        <w:t xml:space="preserve">Looking at </w:t>
      </w:r>
      <w:proofErr w:type="spellStart"/>
      <w:r>
        <w:t>Launchboard</w:t>
      </w:r>
      <w:proofErr w:type="spellEnd"/>
      <w:r>
        <w:t xml:space="preserve"> for employment outcomes data shows that s</w:t>
      </w:r>
      <w:r w:rsidR="00960FA2">
        <w:t>tudents who took courses on the Fire Academy</w:t>
      </w:r>
      <w:r>
        <w:t xml:space="preserve"> TOP code </w:t>
      </w:r>
      <w:r w:rsidR="00636E31">
        <w:t>(</w:t>
      </w:r>
      <w:r w:rsidR="00960FA2">
        <w:t>2133.50</w:t>
      </w:r>
      <w:r w:rsidR="00636E31">
        <w:t>)</w:t>
      </w:r>
      <w:r w:rsidR="00960FA2">
        <w:t xml:space="preserve"> </w:t>
      </w:r>
      <w:r>
        <w:t>in the Bay Region did well in terms of employment outcomes as compared with the state or with students on all regional programs in 2014-15. The following highlight</w:t>
      </w:r>
      <w:r w:rsidR="00636E31">
        <w:t>s some of the results in Table 7</w:t>
      </w:r>
      <w:r>
        <w:t>:</w:t>
      </w:r>
    </w:p>
    <w:p w14:paraId="1DF7204F" w14:textId="160F88BB" w:rsidR="00027B73" w:rsidRDefault="007D4460" w:rsidP="00027B73">
      <w:pPr>
        <w:pStyle w:val="ListParagraph"/>
        <w:numPr>
          <w:ilvl w:val="0"/>
          <w:numId w:val="5"/>
        </w:numPr>
        <w:spacing w:line="240" w:lineRule="auto"/>
      </w:pPr>
      <w:r>
        <w:t>88</w:t>
      </w:r>
      <w:r w:rsidR="0040391C">
        <w:t xml:space="preserve">% of </w:t>
      </w:r>
      <w:r>
        <w:t xml:space="preserve">MPC </w:t>
      </w:r>
      <w:r w:rsidR="0040391C">
        <w:t>students who exited and took courses on that TOP code earned a living wage in 2014-15 compared to 80% at the st</w:t>
      </w:r>
      <w:r>
        <w:t>ate level in Fire Academy and 67</w:t>
      </w:r>
      <w:r w:rsidR="0040391C">
        <w:t>% across all program areas</w:t>
      </w:r>
      <w:r>
        <w:t xml:space="preserve"> at MPC</w:t>
      </w:r>
      <w:r w:rsidR="0040391C">
        <w:t xml:space="preserve">. </w:t>
      </w:r>
    </w:p>
    <w:p w14:paraId="7E95BC64" w14:textId="0EF30280" w:rsidR="003C203B" w:rsidRDefault="003C203B" w:rsidP="00027B73">
      <w:pPr>
        <w:pStyle w:val="ListParagraph"/>
        <w:numPr>
          <w:ilvl w:val="0"/>
          <w:numId w:val="5"/>
        </w:numPr>
        <w:spacing w:line="240" w:lineRule="auto"/>
      </w:pPr>
      <w:r>
        <w:t>100% of Chabot Fire Academy students were employed four quarters after exit.</w:t>
      </w:r>
      <w:r w:rsidR="007D4460">
        <w:t xml:space="preserve">  MPC students, who took courses on this TOP code, appear to be employed at a much lower rate (53%) than students who took courses on this TOP code at the sub-region (72%), region (84%) or state (86%) or than MPC students across all programs (72%).</w:t>
      </w:r>
    </w:p>
    <w:p w14:paraId="4AE94E9F" w14:textId="293AE9F6" w:rsidR="0040391C" w:rsidRPr="004D2ADF" w:rsidRDefault="0040391C" w:rsidP="0040391C">
      <w:pPr>
        <w:pStyle w:val="ListParagraph"/>
        <w:numPr>
          <w:ilvl w:val="0"/>
          <w:numId w:val="5"/>
        </w:numPr>
        <w:spacing w:line="240" w:lineRule="auto"/>
      </w:pPr>
      <w:r>
        <w:t xml:space="preserve">Foothill’s students earned the highest quarterly wages in 2014-15 in the region at $38,625 as well as the </w:t>
      </w:r>
      <w:r w:rsidR="00027B73">
        <w:t xml:space="preserve">highest </w:t>
      </w:r>
      <w:r>
        <w:t>percentage of students earning a living wage at 90%.</w:t>
      </w:r>
    </w:p>
    <w:p w14:paraId="29A5FCAD" w14:textId="370A1A93" w:rsidR="00E31588" w:rsidRDefault="00743777" w:rsidP="00027B73">
      <w:pPr>
        <w:spacing w:after="0" w:line="240" w:lineRule="auto"/>
        <w:rPr>
          <w:b/>
        </w:rPr>
      </w:pPr>
      <w:r>
        <w:rPr>
          <w:b/>
        </w:rPr>
        <w:t>Table</w:t>
      </w:r>
      <w:r w:rsidR="00B87926">
        <w:rPr>
          <w:b/>
        </w:rPr>
        <w:t xml:space="preserve"> 7</w:t>
      </w:r>
      <w:r>
        <w:rPr>
          <w:b/>
        </w:rPr>
        <w:t xml:space="preserve">. Four </w:t>
      </w:r>
      <w:r w:rsidR="00226D46">
        <w:rPr>
          <w:b/>
        </w:rPr>
        <w:t xml:space="preserve">Employment Outcomes Metrics for Students Who Took Courses on TOP </w:t>
      </w:r>
      <w:r w:rsidR="00EE5AA9">
        <w:rPr>
          <w:b/>
        </w:rPr>
        <w:t>2133.50</w:t>
      </w:r>
      <w:r w:rsidR="00E31588">
        <w:rPr>
          <w:b/>
        </w:rPr>
        <w:t xml:space="preserve"> </w:t>
      </w:r>
      <w:r w:rsidR="00636E31">
        <w:rPr>
          <w:b/>
        </w:rPr>
        <w:t xml:space="preserve">- </w:t>
      </w:r>
      <w:r w:rsidR="00F41D29">
        <w:rPr>
          <w:b/>
        </w:rPr>
        <w:t>Fire Academy</w:t>
      </w:r>
      <w:r w:rsidR="00E31588">
        <w:rPr>
          <w:b/>
        </w:rPr>
        <w:t xml:space="preserve"> for 2014-15</w:t>
      </w:r>
    </w:p>
    <w:tbl>
      <w:tblPr>
        <w:tblStyle w:val="TableGrid"/>
        <w:tblW w:w="10255" w:type="dxa"/>
        <w:tblLayout w:type="fixed"/>
        <w:tblLook w:val="04A0" w:firstRow="1" w:lastRow="0" w:firstColumn="1" w:lastColumn="0" w:noHBand="0" w:noVBand="1"/>
      </w:tblPr>
      <w:tblGrid>
        <w:gridCol w:w="1705"/>
        <w:gridCol w:w="1080"/>
        <w:gridCol w:w="1080"/>
        <w:gridCol w:w="1080"/>
        <w:gridCol w:w="1080"/>
        <w:gridCol w:w="1170"/>
        <w:gridCol w:w="1170"/>
        <w:gridCol w:w="900"/>
        <w:gridCol w:w="990"/>
      </w:tblGrid>
      <w:tr w:rsidR="00141F46" w14:paraId="352A84CB" w14:textId="77777777" w:rsidTr="007D4460">
        <w:tc>
          <w:tcPr>
            <w:tcW w:w="1705" w:type="dxa"/>
            <w:vAlign w:val="center"/>
          </w:tcPr>
          <w:p w14:paraId="5FDB39F5" w14:textId="77777777" w:rsidR="00141F46" w:rsidRDefault="00141F46" w:rsidP="00445C9F">
            <w:pPr>
              <w:jc w:val="center"/>
              <w:rPr>
                <w:b/>
              </w:rPr>
            </w:pPr>
            <w:r>
              <w:rPr>
                <w:b/>
              </w:rPr>
              <w:t>2014-15</w:t>
            </w:r>
          </w:p>
        </w:tc>
        <w:tc>
          <w:tcPr>
            <w:tcW w:w="1080" w:type="dxa"/>
            <w:vAlign w:val="center"/>
          </w:tcPr>
          <w:p w14:paraId="784B6649" w14:textId="77777777" w:rsidR="00141F46" w:rsidRPr="007D7027" w:rsidRDefault="00141F46" w:rsidP="00445C9F">
            <w:pPr>
              <w:jc w:val="center"/>
              <w:rPr>
                <w:b/>
                <w:sz w:val="21"/>
                <w:szCs w:val="21"/>
              </w:rPr>
            </w:pPr>
            <w:r w:rsidRPr="007D7027">
              <w:rPr>
                <w:b/>
                <w:sz w:val="21"/>
                <w:szCs w:val="21"/>
              </w:rPr>
              <w:t xml:space="preserve">Bay Region </w:t>
            </w:r>
            <w:r w:rsidRPr="007D7027">
              <w:rPr>
                <w:b/>
                <w:sz w:val="20"/>
                <w:szCs w:val="20"/>
              </w:rPr>
              <w:t>(All Programs)</w:t>
            </w:r>
          </w:p>
        </w:tc>
        <w:tc>
          <w:tcPr>
            <w:tcW w:w="1080" w:type="dxa"/>
            <w:vAlign w:val="center"/>
          </w:tcPr>
          <w:p w14:paraId="2CC6995E" w14:textId="5573FD9E" w:rsidR="00141F46" w:rsidRPr="007D7027" w:rsidRDefault="00141F46" w:rsidP="00445C9F">
            <w:pPr>
              <w:jc w:val="center"/>
              <w:rPr>
                <w:b/>
                <w:sz w:val="21"/>
                <w:szCs w:val="21"/>
              </w:rPr>
            </w:pPr>
            <w:r>
              <w:rPr>
                <w:b/>
                <w:sz w:val="21"/>
                <w:szCs w:val="21"/>
              </w:rPr>
              <w:t xml:space="preserve">MPC </w:t>
            </w:r>
            <w:r>
              <w:rPr>
                <w:b/>
                <w:sz w:val="21"/>
                <w:szCs w:val="21"/>
              </w:rPr>
              <w:br/>
            </w:r>
            <w:r w:rsidRPr="00141F46">
              <w:rPr>
                <w:b/>
                <w:sz w:val="20"/>
                <w:szCs w:val="20"/>
              </w:rPr>
              <w:t>(All Programs)</w:t>
            </w:r>
          </w:p>
        </w:tc>
        <w:tc>
          <w:tcPr>
            <w:tcW w:w="1080" w:type="dxa"/>
            <w:vAlign w:val="center"/>
          </w:tcPr>
          <w:p w14:paraId="7F9FE924" w14:textId="621723D5" w:rsidR="00141F46" w:rsidRPr="007D7027" w:rsidRDefault="00141F46" w:rsidP="00445C9F">
            <w:pPr>
              <w:jc w:val="center"/>
              <w:rPr>
                <w:b/>
                <w:sz w:val="21"/>
                <w:szCs w:val="21"/>
              </w:rPr>
            </w:pPr>
            <w:r w:rsidRPr="007D7027">
              <w:rPr>
                <w:b/>
                <w:sz w:val="21"/>
                <w:szCs w:val="21"/>
              </w:rPr>
              <w:t xml:space="preserve">State </w:t>
            </w:r>
            <w:r w:rsidRPr="007D7027">
              <w:rPr>
                <w:b/>
                <w:sz w:val="20"/>
                <w:szCs w:val="20"/>
              </w:rPr>
              <w:t>(</w:t>
            </w:r>
            <w:r>
              <w:rPr>
                <w:b/>
                <w:sz w:val="20"/>
                <w:szCs w:val="20"/>
              </w:rPr>
              <w:t>2133.50</w:t>
            </w:r>
            <w:r w:rsidRPr="007D7027">
              <w:rPr>
                <w:b/>
                <w:sz w:val="20"/>
                <w:szCs w:val="20"/>
              </w:rPr>
              <w:t>)</w:t>
            </w:r>
          </w:p>
        </w:tc>
        <w:tc>
          <w:tcPr>
            <w:tcW w:w="1080" w:type="dxa"/>
            <w:vAlign w:val="center"/>
          </w:tcPr>
          <w:p w14:paraId="34BFF633" w14:textId="13C57311" w:rsidR="00141F46" w:rsidRPr="007D7027" w:rsidRDefault="00141F46" w:rsidP="00445C9F">
            <w:pPr>
              <w:jc w:val="center"/>
              <w:rPr>
                <w:b/>
                <w:sz w:val="21"/>
                <w:szCs w:val="21"/>
              </w:rPr>
            </w:pPr>
            <w:r w:rsidRPr="007D7027">
              <w:rPr>
                <w:b/>
                <w:sz w:val="21"/>
                <w:szCs w:val="21"/>
              </w:rPr>
              <w:t xml:space="preserve">Bay Region </w:t>
            </w:r>
            <w:r w:rsidRPr="007D7027">
              <w:rPr>
                <w:b/>
                <w:sz w:val="20"/>
                <w:szCs w:val="20"/>
              </w:rPr>
              <w:t>(</w:t>
            </w:r>
            <w:r>
              <w:rPr>
                <w:b/>
                <w:sz w:val="20"/>
                <w:szCs w:val="20"/>
              </w:rPr>
              <w:t>2133.50</w:t>
            </w:r>
            <w:r w:rsidRPr="007D7027">
              <w:rPr>
                <w:b/>
                <w:sz w:val="20"/>
                <w:szCs w:val="20"/>
              </w:rPr>
              <w:t>)</w:t>
            </w:r>
          </w:p>
        </w:tc>
        <w:tc>
          <w:tcPr>
            <w:tcW w:w="1170" w:type="dxa"/>
            <w:vAlign w:val="center"/>
          </w:tcPr>
          <w:p w14:paraId="0E5A50B3" w14:textId="3B221141" w:rsidR="00141F46" w:rsidRPr="00D8494B" w:rsidRDefault="00141F46" w:rsidP="00EE5AA9">
            <w:pPr>
              <w:jc w:val="center"/>
              <w:rPr>
                <w:b/>
                <w:sz w:val="20"/>
                <w:szCs w:val="20"/>
              </w:rPr>
            </w:pPr>
            <w:r w:rsidRPr="00D8494B">
              <w:rPr>
                <w:b/>
                <w:sz w:val="20"/>
                <w:szCs w:val="20"/>
              </w:rPr>
              <w:t>SC-Monterey Sub-Region (2133.50)</w:t>
            </w:r>
          </w:p>
        </w:tc>
        <w:tc>
          <w:tcPr>
            <w:tcW w:w="1170" w:type="dxa"/>
            <w:shd w:val="clear" w:color="auto" w:fill="E0F1EE" w:themeFill="accent1" w:themeFillTint="1A"/>
            <w:vAlign w:val="center"/>
          </w:tcPr>
          <w:p w14:paraId="4354E090" w14:textId="58B762E8" w:rsidR="00141F46" w:rsidRPr="007D7027" w:rsidRDefault="00141F46" w:rsidP="00EE5AA9">
            <w:pPr>
              <w:jc w:val="center"/>
              <w:rPr>
                <w:b/>
                <w:sz w:val="21"/>
                <w:szCs w:val="21"/>
              </w:rPr>
            </w:pPr>
            <w:r>
              <w:rPr>
                <w:b/>
                <w:sz w:val="21"/>
                <w:szCs w:val="21"/>
              </w:rPr>
              <w:t xml:space="preserve">MPC </w:t>
            </w:r>
            <w:r w:rsidRPr="007D7027">
              <w:rPr>
                <w:b/>
                <w:sz w:val="20"/>
                <w:szCs w:val="20"/>
              </w:rPr>
              <w:t>(</w:t>
            </w:r>
            <w:r>
              <w:rPr>
                <w:b/>
                <w:sz w:val="20"/>
                <w:szCs w:val="20"/>
              </w:rPr>
              <w:t>2133.50</w:t>
            </w:r>
            <w:r w:rsidRPr="007D7027">
              <w:rPr>
                <w:b/>
                <w:sz w:val="20"/>
                <w:szCs w:val="20"/>
              </w:rPr>
              <w:t>)</w:t>
            </w:r>
          </w:p>
        </w:tc>
        <w:tc>
          <w:tcPr>
            <w:tcW w:w="1890" w:type="dxa"/>
            <w:gridSpan w:val="2"/>
            <w:vAlign w:val="center"/>
          </w:tcPr>
          <w:p w14:paraId="39B0228E" w14:textId="5DC595B6" w:rsidR="00141F46" w:rsidRPr="007D7027" w:rsidRDefault="00141F46" w:rsidP="00445C9F">
            <w:pPr>
              <w:jc w:val="center"/>
              <w:rPr>
                <w:b/>
                <w:sz w:val="21"/>
                <w:szCs w:val="21"/>
              </w:rPr>
            </w:pPr>
            <w:r w:rsidRPr="007D7027">
              <w:rPr>
                <w:b/>
                <w:sz w:val="21"/>
                <w:szCs w:val="21"/>
              </w:rPr>
              <w:t xml:space="preserve">Top </w:t>
            </w:r>
            <w:r>
              <w:rPr>
                <w:b/>
                <w:sz w:val="21"/>
                <w:szCs w:val="21"/>
              </w:rPr>
              <w:t xml:space="preserve">Performing </w:t>
            </w:r>
            <w:r w:rsidRPr="007D7027">
              <w:rPr>
                <w:b/>
                <w:sz w:val="21"/>
                <w:szCs w:val="21"/>
              </w:rPr>
              <w:t>College in Bay Region (</w:t>
            </w:r>
            <w:r>
              <w:rPr>
                <w:b/>
                <w:sz w:val="21"/>
                <w:szCs w:val="21"/>
              </w:rPr>
              <w:t>2133.50</w:t>
            </w:r>
            <w:r w:rsidRPr="007D7027">
              <w:rPr>
                <w:b/>
                <w:sz w:val="21"/>
                <w:szCs w:val="21"/>
              </w:rPr>
              <w:t>)</w:t>
            </w:r>
          </w:p>
        </w:tc>
      </w:tr>
      <w:tr w:rsidR="00141F46" w14:paraId="55F8F6F0" w14:textId="77777777" w:rsidTr="007D4460">
        <w:trPr>
          <w:trHeight w:val="521"/>
        </w:trPr>
        <w:tc>
          <w:tcPr>
            <w:tcW w:w="1705" w:type="dxa"/>
            <w:vAlign w:val="center"/>
          </w:tcPr>
          <w:p w14:paraId="3B35261B" w14:textId="77777777" w:rsidR="00141F46" w:rsidRPr="006433A9" w:rsidRDefault="00141F46" w:rsidP="00980558">
            <w:pPr>
              <w:rPr>
                <w:sz w:val="21"/>
                <w:szCs w:val="21"/>
              </w:rPr>
            </w:pPr>
            <w:r w:rsidRPr="006433A9">
              <w:rPr>
                <w:sz w:val="21"/>
                <w:szCs w:val="21"/>
              </w:rPr>
              <w:t>% Employed Four Quarters After Exit</w:t>
            </w:r>
          </w:p>
        </w:tc>
        <w:tc>
          <w:tcPr>
            <w:tcW w:w="1080" w:type="dxa"/>
            <w:vAlign w:val="center"/>
          </w:tcPr>
          <w:p w14:paraId="0103A2CB" w14:textId="15F77E91" w:rsidR="00141F46" w:rsidRDefault="00141F46" w:rsidP="00980558">
            <w:pPr>
              <w:jc w:val="center"/>
              <w:rPr>
                <w:sz w:val="21"/>
                <w:szCs w:val="21"/>
              </w:rPr>
            </w:pPr>
            <w:r w:rsidRPr="006433A9">
              <w:rPr>
                <w:sz w:val="21"/>
                <w:szCs w:val="21"/>
              </w:rPr>
              <w:t>68%</w:t>
            </w:r>
          </w:p>
        </w:tc>
        <w:tc>
          <w:tcPr>
            <w:tcW w:w="1080" w:type="dxa"/>
            <w:vAlign w:val="center"/>
          </w:tcPr>
          <w:p w14:paraId="5E28544F" w14:textId="1BE2B6E4" w:rsidR="00141F46" w:rsidRDefault="00141F46" w:rsidP="00980558">
            <w:pPr>
              <w:jc w:val="center"/>
              <w:rPr>
                <w:sz w:val="21"/>
                <w:szCs w:val="21"/>
              </w:rPr>
            </w:pPr>
            <w:r>
              <w:rPr>
                <w:sz w:val="21"/>
                <w:szCs w:val="21"/>
              </w:rPr>
              <w:t>72%</w:t>
            </w:r>
          </w:p>
        </w:tc>
        <w:tc>
          <w:tcPr>
            <w:tcW w:w="1080" w:type="dxa"/>
            <w:vAlign w:val="center"/>
          </w:tcPr>
          <w:p w14:paraId="0388F614" w14:textId="59F66FB5" w:rsidR="00141F46" w:rsidRPr="006433A9" w:rsidRDefault="00141F46" w:rsidP="00980558">
            <w:pPr>
              <w:jc w:val="center"/>
              <w:rPr>
                <w:sz w:val="21"/>
                <w:szCs w:val="21"/>
              </w:rPr>
            </w:pPr>
            <w:r>
              <w:rPr>
                <w:sz w:val="21"/>
                <w:szCs w:val="21"/>
              </w:rPr>
              <w:t>86</w:t>
            </w:r>
            <w:r w:rsidRPr="006433A9">
              <w:rPr>
                <w:sz w:val="21"/>
                <w:szCs w:val="21"/>
              </w:rPr>
              <w:t>%</w:t>
            </w:r>
          </w:p>
        </w:tc>
        <w:tc>
          <w:tcPr>
            <w:tcW w:w="1080" w:type="dxa"/>
            <w:vAlign w:val="center"/>
          </w:tcPr>
          <w:p w14:paraId="385516D0" w14:textId="0256B75E" w:rsidR="00141F46" w:rsidRPr="006433A9" w:rsidRDefault="00141F46" w:rsidP="00980558">
            <w:pPr>
              <w:jc w:val="center"/>
              <w:rPr>
                <w:sz w:val="21"/>
                <w:szCs w:val="21"/>
              </w:rPr>
            </w:pPr>
            <w:r>
              <w:rPr>
                <w:sz w:val="21"/>
                <w:szCs w:val="21"/>
              </w:rPr>
              <w:t>84%</w:t>
            </w:r>
          </w:p>
        </w:tc>
        <w:tc>
          <w:tcPr>
            <w:tcW w:w="1170" w:type="dxa"/>
            <w:vAlign w:val="center"/>
          </w:tcPr>
          <w:p w14:paraId="7A722C59" w14:textId="51EAE565" w:rsidR="00141F46" w:rsidRDefault="00141F46" w:rsidP="00980558">
            <w:pPr>
              <w:jc w:val="center"/>
              <w:rPr>
                <w:sz w:val="21"/>
                <w:szCs w:val="21"/>
              </w:rPr>
            </w:pPr>
            <w:r>
              <w:rPr>
                <w:sz w:val="21"/>
                <w:szCs w:val="21"/>
              </w:rPr>
              <w:t>72%</w:t>
            </w:r>
          </w:p>
        </w:tc>
        <w:tc>
          <w:tcPr>
            <w:tcW w:w="1170" w:type="dxa"/>
            <w:shd w:val="clear" w:color="auto" w:fill="E0F1EE" w:themeFill="accent1" w:themeFillTint="1A"/>
            <w:vAlign w:val="center"/>
          </w:tcPr>
          <w:p w14:paraId="3358FBB8" w14:textId="39D6A484" w:rsidR="00141F46" w:rsidRPr="006433A9" w:rsidRDefault="00141F46" w:rsidP="00980558">
            <w:pPr>
              <w:jc w:val="center"/>
              <w:rPr>
                <w:sz w:val="21"/>
                <w:szCs w:val="21"/>
              </w:rPr>
            </w:pPr>
            <w:r>
              <w:rPr>
                <w:sz w:val="21"/>
                <w:szCs w:val="21"/>
              </w:rPr>
              <w:t>53%</w:t>
            </w:r>
          </w:p>
        </w:tc>
        <w:tc>
          <w:tcPr>
            <w:tcW w:w="900" w:type="dxa"/>
            <w:vAlign w:val="center"/>
          </w:tcPr>
          <w:p w14:paraId="3CFF5D4B" w14:textId="2A6F4F14" w:rsidR="00141F46" w:rsidRPr="006433A9" w:rsidRDefault="00141F46" w:rsidP="00980558">
            <w:pPr>
              <w:rPr>
                <w:sz w:val="21"/>
                <w:szCs w:val="21"/>
              </w:rPr>
            </w:pPr>
            <w:r>
              <w:rPr>
                <w:sz w:val="21"/>
                <w:szCs w:val="21"/>
              </w:rPr>
              <w:t>Chabot</w:t>
            </w:r>
          </w:p>
        </w:tc>
        <w:tc>
          <w:tcPr>
            <w:tcW w:w="990" w:type="dxa"/>
            <w:vAlign w:val="center"/>
          </w:tcPr>
          <w:p w14:paraId="2BAAE3FC" w14:textId="2D532561" w:rsidR="00141F46" w:rsidRPr="006433A9" w:rsidRDefault="00141F46" w:rsidP="00980558">
            <w:pPr>
              <w:jc w:val="center"/>
              <w:rPr>
                <w:sz w:val="21"/>
                <w:szCs w:val="21"/>
              </w:rPr>
            </w:pPr>
            <w:r>
              <w:rPr>
                <w:sz w:val="21"/>
                <w:szCs w:val="21"/>
              </w:rPr>
              <w:t>100%</w:t>
            </w:r>
          </w:p>
        </w:tc>
      </w:tr>
      <w:tr w:rsidR="00141F46" w14:paraId="4330B8DD" w14:textId="77777777" w:rsidTr="007D4460">
        <w:trPr>
          <w:trHeight w:val="530"/>
        </w:trPr>
        <w:tc>
          <w:tcPr>
            <w:tcW w:w="1705" w:type="dxa"/>
            <w:vAlign w:val="center"/>
          </w:tcPr>
          <w:p w14:paraId="4B263E76" w14:textId="77777777" w:rsidR="00141F46" w:rsidRPr="006433A9" w:rsidRDefault="00141F46" w:rsidP="00980558">
            <w:pPr>
              <w:rPr>
                <w:sz w:val="21"/>
                <w:szCs w:val="21"/>
              </w:rPr>
            </w:pPr>
            <w:r w:rsidRPr="006433A9">
              <w:rPr>
                <w:sz w:val="21"/>
                <w:szCs w:val="21"/>
              </w:rPr>
              <w:t>Median Earnings Two Quarters After Exit</w:t>
            </w:r>
          </w:p>
        </w:tc>
        <w:tc>
          <w:tcPr>
            <w:tcW w:w="1080" w:type="dxa"/>
            <w:vAlign w:val="center"/>
          </w:tcPr>
          <w:p w14:paraId="15371694" w14:textId="0BC4F368" w:rsidR="00141F46" w:rsidRDefault="00141F46" w:rsidP="00980558">
            <w:pPr>
              <w:jc w:val="center"/>
              <w:rPr>
                <w:sz w:val="21"/>
                <w:szCs w:val="21"/>
              </w:rPr>
            </w:pPr>
            <w:r w:rsidRPr="006433A9">
              <w:rPr>
                <w:sz w:val="21"/>
                <w:szCs w:val="21"/>
              </w:rPr>
              <w:t>$12,640</w:t>
            </w:r>
          </w:p>
        </w:tc>
        <w:tc>
          <w:tcPr>
            <w:tcW w:w="1080" w:type="dxa"/>
            <w:vAlign w:val="center"/>
          </w:tcPr>
          <w:p w14:paraId="7FC182F4" w14:textId="40F36DB9" w:rsidR="00141F46" w:rsidRPr="006433A9" w:rsidRDefault="00141F46" w:rsidP="00980558">
            <w:pPr>
              <w:jc w:val="center"/>
              <w:rPr>
                <w:sz w:val="21"/>
                <w:szCs w:val="21"/>
              </w:rPr>
            </w:pPr>
            <w:r>
              <w:rPr>
                <w:sz w:val="21"/>
                <w:szCs w:val="21"/>
              </w:rPr>
              <w:t>$18,315</w:t>
            </w:r>
          </w:p>
        </w:tc>
        <w:tc>
          <w:tcPr>
            <w:tcW w:w="1080" w:type="dxa"/>
            <w:vAlign w:val="center"/>
          </w:tcPr>
          <w:p w14:paraId="7D69D9D8" w14:textId="4C374792" w:rsidR="00141F46" w:rsidRPr="006433A9" w:rsidRDefault="00141F46" w:rsidP="00980558">
            <w:pPr>
              <w:jc w:val="center"/>
              <w:rPr>
                <w:sz w:val="21"/>
                <w:szCs w:val="21"/>
              </w:rPr>
            </w:pPr>
            <w:r w:rsidRPr="006433A9">
              <w:rPr>
                <w:sz w:val="21"/>
                <w:szCs w:val="21"/>
              </w:rPr>
              <w:t>$</w:t>
            </w:r>
            <w:r>
              <w:rPr>
                <w:sz w:val="21"/>
                <w:szCs w:val="21"/>
              </w:rPr>
              <w:t>27,330</w:t>
            </w:r>
          </w:p>
        </w:tc>
        <w:tc>
          <w:tcPr>
            <w:tcW w:w="1080" w:type="dxa"/>
            <w:vAlign w:val="center"/>
          </w:tcPr>
          <w:p w14:paraId="60D72881" w14:textId="4A638222" w:rsidR="00141F46" w:rsidRPr="006433A9" w:rsidRDefault="00141F46" w:rsidP="00980558">
            <w:pPr>
              <w:jc w:val="center"/>
              <w:rPr>
                <w:sz w:val="21"/>
                <w:szCs w:val="21"/>
              </w:rPr>
            </w:pPr>
            <w:r>
              <w:rPr>
                <w:sz w:val="21"/>
                <w:szCs w:val="21"/>
              </w:rPr>
              <w:t>$29,285</w:t>
            </w:r>
          </w:p>
        </w:tc>
        <w:tc>
          <w:tcPr>
            <w:tcW w:w="1170" w:type="dxa"/>
            <w:vAlign w:val="center"/>
          </w:tcPr>
          <w:p w14:paraId="1E048A0A" w14:textId="3C27A338" w:rsidR="00141F46" w:rsidRDefault="00141F46" w:rsidP="00980558">
            <w:pPr>
              <w:jc w:val="center"/>
              <w:rPr>
                <w:sz w:val="21"/>
                <w:szCs w:val="21"/>
              </w:rPr>
            </w:pPr>
            <w:r>
              <w:rPr>
                <w:sz w:val="21"/>
                <w:szCs w:val="21"/>
              </w:rPr>
              <w:t>$23,155</w:t>
            </w:r>
          </w:p>
        </w:tc>
        <w:tc>
          <w:tcPr>
            <w:tcW w:w="1170" w:type="dxa"/>
            <w:shd w:val="clear" w:color="auto" w:fill="E0F1EE" w:themeFill="accent1" w:themeFillTint="1A"/>
            <w:vAlign w:val="center"/>
          </w:tcPr>
          <w:p w14:paraId="3939D294" w14:textId="091C4EB7" w:rsidR="00141F46" w:rsidRPr="006433A9" w:rsidRDefault="00141F46" w:rsidP="00980558">
            <w:pPr>
              <w:jc w:val="center"/>
              <w:rPr>
                <w:sz w:val="21"/>
                <w:szCs w:val="21"/>
              </w:rPr>
            </w:pPr>
            <w:r>
              <w:rPr>
                <w:sz w:val="21"/>
                <w:szCs w:val="21"/>
              </w:rPr>
              <w:t>$22,000</w:t>
            </w:r>
          </w:p>
        </w:tc>
        <w:tc>
          <w:tcPr>
            <w:tcW w:w="900" w:type="dxa"/>
            <w:vAlign w:val="center"/>
          </w:tcPr>
          <w:p w14:paraId="72A5C387" w14:textId="3A937DE3" w:rsidR="00141F46" w:rsidRPr="006433A9" w:rsidRDefault="00141F46" w:rsidP="00980558">
            <w:pPr>
              <w:rPr>
                <w:sz w:val="21"/>
                <w:szCs w:val="21"/>
              </w:rPr>
            </w:pPr>
            <w:r>
              <w:rPr>
                <w:sz w:val="21"/>
                <w:szCs w:val="21"/>
              </w:rPr>
              <w:t>Foothill</w:t>
            </w:r>
          </w:p>
        </w:tc>
        <w:tc>
          <w:tcPr>
            <w:tcW w:w="990" w:type="dxa"/>
            <w:vAlign w:val="center"/>
          </w:tcPr>
          <w:p w14:paraId="5C4AF89E" w14:textId="6FBE13DD" w:rsidR="00141F46" w:rsidRPr="006433A9" w:rsidRDefault="00141F46" w:rsidP="00980558">
            <w:pPr>
              <w:jc w:val="center"/>
              <w:rPr>
                <w:sz w:val="21"/>
                <w:szCs w:val="21"/>
              </w:rPr>
            </w:pPr>
            <w:r>
              <w:rPr>
                <w:sz w:val="21"/>
                <w:szCs w:val="21"/>
              </w:rPr>
              <w:t>$38,625</w:t>
            </w:r>
          </w:p>
        </w:tc>
      </w:tr>
      <w:tr w:rsidR="00141F46" w14:paraId="1D6A838E" w14:textId="77777777" w:rsidTr="007D4460">
        <w:trPr>
          <w:trHeight w:val="260"/>
        </w:trPr>
        <w:tc>
          <w:tcPr>
            <w:tcW w:w="1705" w:type="dxa"/>
            <w:vAlign w:val="center"/>
          </w:tcPr>
          <w:p w14:paraId="3F30CC9A" w14:textId="77777777" w:rsidR="00141F46" w:rsidRPr="006433A9" w:rsidRDefault="00141F46" w:rsidP="00980558">
            <w:pPr>
              <w:rPr>
                <w:sz w:val="21"/>
                <w:szCs w:val="21"/>
              </w:rPr>
            </w:pPr>
            <w:r w:rsidRPr="006433A9">
              <w:rPr>
                <w:sz w:val="21"/>
                <w:szCs w:val="21"/>
              </w:rPr>
              <w:t>Median % Change in Earnings</w:t>
            </w:r>
          </w:p>
        </w:tc>
        <w:tc>
          <w:tcPr>
            <w:tcW w:w="1080" w:type="dxa"/>
            <w:vAlign w:val="center"/>
          </w:tcPr>
          <w:p w14:paraId="4E261360" w14:textId="16FB3FA5" w:rsidR="00141F46" w:rsidRDefault="00141F46" w:rsidP="00980558">
            <w:pPr>
              <w:jc w:val="center"/>
              <w:rPr>
                <w:sz w:val="21"/>
                <w:szCs w:val="21"/>
              </w:rPr>
            </w:pPr>
            <w:r w:rsidRPr="006433A9">
              <w:rPr>
                <w:sz w:val="21"/>
                <w:szCs w:val="21"/>
              </w:rPr>
              <w:t>37%</w:t>
            </w:r>
          </w:p>
        </w:tc>
        <w:tc>
          <w:tcPr>
            <w:tcW w:w="1080" w:type="dxa"/>
            <w:vAlign w:val="center"/>
          </w:tcPr>
          <w:p w14:paraId="7FC2A5DF" w14:textId="4C16D6BD" w:rsidR="00141F46" w:rsidRDefault="00141F46" w:rsidP="00980558">
            <w:pPr>
              <w:jc w:val="center"/>
              <w:rPr>
                <w:sz w:val="21"/>
                <w:szCs w:val="21"/>
              </w:rPr>
            </w:pPr>
            <w:r>
              <w:rPr>
                <w:sz w:val="21"/>
                <w:szCs w:val="21"/>
              </w:rPr>
              <w:t>22%</w:t>
            </w:r>
          </w:p>
        </w:tc>
        <w:tc>
          <w:tcPr>
            <w:tcW w:w="1080" w:type="dxa"/>
            <w:vAlign w:val="center"/>
          </w:tcPr>
          <w:p w14:paraId="25C22524" w14:textId="3DC9BF74" w:rsidR="00141F46" w:rsidRPr="006433A9" w:rsidRDefault="00141F46" w:rsidP="00980558">
            <w:pPr>
              <w:jc w:val="center"/>
              <w:rPr>
                <w:sz w:val="21"/>
                <w:szCs w:val="21"/>
              </w:rPr>
            </w:pPr>
            <w:r>
              <w:rPr>
                <w:sz w:val="21"/>
                <w:szCs w:val="21"/>
              </w:rPr>
              <w:t>15</w:t>
            </w:r>
            <w:r w:rsidRPr="006433A9">
              <w:rPr>
                <w:sz w:val="21"/>
                <w:szCs w:val="21"/>
              </w:rPr>
              <w:t>%</w:t>
            </w:r>
          </w:p>
        </w:tc>
        <w:tc>
          <w:tcPr>
            <w:tcW w:w="1080" w:type="dxa"/>
            <w:vAlign w:val="center"/>
          </w:tcPr>
          <w:p w14:paraId="241792B2" w14:textId="5AFF0319" w:rsidR="00141F46" w:rsidRPr="006433A9" w:rsidRDefault="00141F46" w:rsidP="00980558">
            <w:pPr>
              <w:jc w:val="center"/>
              <w:rPr>
                <w:sz w:val="21"/>
                <w:szCs w:val="21"/>
              </w:rPr>
            </w:pPr>
            <w:r>
              <w:rPr>
                <w:sz w:val="21"/>
                <w:szCs w:val="21"/>
              </w:rPr>
              <w:t>25%</w:t>
            </w:r>
          </w:p>
        </w:tc>
        <w:tc>
          <w:tcPr>
            <w:tcW w:w="1170" w:type="dxa"/>
            <w:vAlign w:val="center"/>
          </w:tcPr>
          <w:p w14:paraId="6EECE5EF" w14:textId="21C7E0F2" w:rsidR="00141F46" w:rsidRDefault="00141F46" w:rsidP="00980558">
            <w:pPr>
              <w:jc w:val="center"/>
              <w:rPr>
                <w:sz w:val="21"/>
                <w:szCs w:val="21"/>
              </w:rPr>
            </w:pPr>
            <w:r>
              <w:rPr>
                <w:sz w:val="21"/>
                <w:szCs w:val="21"/>
              </w:rPr>
              <w:t>28%</w:t>
            </w:r>
          </w:p>
        </w:tc>
        <w:tc>
          <w:tcPr>
            <w:tcW w:w="1170" w:type="dxa"/>
            <w:shd w:val="clear" w:color="auto" w:fill="E0F1EE" w:themeFill="accent1" w:themeFillTint="1A"/>
            <w:vAlign w:val="center"/>
          </w:tcPr>
          <w:p w14:paraId="37638E7B" w14:textId="2F306705" w:rsidR="00141F46" w:rsidRPr="006433A9" w:rsidRDefault="00141F46" w:rsidP="00980558">
            <w:pPr>
              <w:jc w:val="center"/>
              <w:rPr>
                <w:sz w:val="21"/>
                <w:szCs w:val="21"/>
              </w:rPr>
            </w:pPr>
            <w:r>
              <w:rPr>
                <w:sz w:val="21"/>
                <w:szCs w:val="21"/>
              </w:rPr>
              <w:t>211%</w:t>
            </w:r>
          </w:p>
        </w:tc>
        <w:tc>
          <w:tcPr>
            <w:tcW w:w="900" w:type="dxa"/>
            <w:vAlign w:val="center"/>
          </w:tcPr>
          <w:p w14:paraId="0882141D" w14:textId="71995F86" w:rsidR="00141F46" w:rsidRPr="006433A9" w:rsidRDefault="007D4460" w:rsidP="00980558">
            <w:pPr>
              <w:rPr>
                <w:sz w:val="21"/>
                <w:szCs w:val="21"/>
              </w:rPr>
            </w:pPr>
            <w:r>
              <w:rPr>
                <w:sz w:val="21"/>
                <w:szCs w:val="21"/>
              </w:rPr>
              <w:t>MPC</w:t>
            </w:r>
          </w:p>
        </w:tc>
        <w:tc>
          <w:tcPr>
            <w:tcW w:w="990" w:type="dxa"/>
            <w:vAlign w:val="center"/>
          </w:tcPr>
          <w:p w14:paraId="014A60A6" w14:textId="1F290DA0" w:rsidR="00141F46" w:rsidRPr="006433A9" w:rsidRDefault="00141F46" w:rsidP="00980558">
            <w:pPr>
              <w:jc w:val="center"/>
              <w:rPr>
                <w:sz w:val="21"/>
                <w:szCs w:val="21"/>
              </w:rPr>
            </w:pPr>
            <w:r>
              <w:rPr>
                <w:sz w:val="21"/>
                <w:szCs w:val="21"/>
              </w:rPr>
              <w:t>211%</w:t>
            </w:r>
          </w:p>
        </w:tc>
      </w:tr>
      <w:tr w:rsidR="00141F46" w14:paraId="1903E78D" w14:textId="77777777" w:rsidTr="007D4460">
        <w:trPr>
          <w:trHeight w:val="503"/>
        </w:trPr>
        <w:tc>
          <w:tcPr>
            <w:tcW w:w="1705" w:type="dxa"/>
            <w:vAlign w:val="center"/>
          </w:tcPr>
          <w:p w14:paraId="1A45A61C" w14:textId="77777777" w:rsidR="00141F46" w:rsidRPr="006433A9" w:rsidRDefault="00141F46" w:rsidP="00980558">
            <w:pPr>
              <w:rPr>
                <w:sz w:val="21"/>
                <w:szCs w:val="21"/>
              </w:rPr>
            </w:pPr>
            <w:r w:rsidRPr="006433A9">
              <w:rPr>
                <w:sz w:val="21"/>
                <w:szCs w:val="21"/>
              </w:rPr>
              <w:t>% of Students Earning a Living Wage</w:t>
            </w:r>
          </w:p>
        </w:tc>
        <w:tc>
          <w:tcPr>
            <w:tcW w:w="1080" w:type="dxa"/>
            <w:vAlign w:val="center"/>
          </w:tcPr>
          <w:p w14:paraId="7D023A63" w14:textId="1300A423" w:rsidR="00141F46" w:rsidRDefault="00141F46" w:rsidP="00980558">
            <w:pPr>
              <w:jc w:val="center"/>
              <w:rPr>
                <w:sz w:val="21"/>
                <w:szCs w:val="21"/>
              </w:rPr>
            </w:pPr>
            <w:r w:rsidRPr="006433A9">
              <w:rPr>
                <w:sz w:val="21"/>
                <w:szCs w:val="21"/>
              </w:rPr>
              <w:t>51%</w:t>
            </w:r>
          </w:p>
        </w:tc>
        <w:tc>
          <w:tcPr>
            <w:tcW w:w="1080" w:type="dxa"/>
            <w:vAlign w:val="center"/>
          </w:tcPr>
          <w:p w14:paraId="7A95BD09" w14:textId="6E05FBF7" w:rsidR="00141F46" w:rsidRDefault="00141F46" w:rsidP="00980558">
            <w:pPr>
              <w:jc w:val="center"/>
              <w:rPr>
                <w:sz w:val="21"/>
                <w:szCs w:val="21"/>
              </w:rPr>
            </w:pPr>
            <w:r>
              <w:rPr>
                <w:sz w:val="21"/>
                <w:szCs w:val="21"/>
              </w:rPr>
              <w:t>67%</w:t>
            </w:r>
          </w:p>
        </w:tc>
        <w:tc>
          <w:tcPr>
            <w:tcW w:w="1080" w:type="dxa"/>
            <w:vAlign w:val="center"/>
          </w:tcPr>
          <w:p w14:paraId="5986ED56" w14:textId="696248F5" w:rsidR="00141F46" w:rsidRPr="006433A9" w:rsidRDefault="00141F46" w:rsidP="00980558">
            <w:pPr>
              <w:jc w:val="center"/>
              <w:rPr>
                <w:sz w:val="21"/>
                <w:szCs w:val="21"/>
              </w:rPr>
            </w:pPr>
            <w:r>
              <w:rPr>
                <w:sz w:val="21"/>
                <w:szCs w:val="21"/>
              </w:rPr>
              <w:t>80</w:t>
            </w:r>
            <w:r w:rsidRPr="006433A9">
              <w:rPr>
                <w:sz w:val="21"/>
                <w:szCs w:val="21"/>
              </w:rPr>
              <w:t>%</w:t>
            </w:r>
          </w:p>
        </w:tc>
        <w:tc>
          <w:tcPr>
            <w:tcW w:w="1080" w:type="dxa"/>
            <w:vAlign w:val="center"/>
          </w:tcPr>
          <w:p w14:paraId="284BE25F" w14:textId="6A82261B" w:rsidR="00141F46" w:rsidRPr="006433A9" w:rsidRDefault="00141F46" w:rsidP="00980558">
            <w:pPr>
              <w:jc w:val="center"/>
              <w:rPr>
                <w:sz w:val="21"/>
                <w:szCs w:val="21"/>
              </w:rPr>
            </w:pPr>
            <w:r>
              <w:rPr>
                <w:sz w:val="21"/>
                <w:szCs w:val="21"/>
              </w:rPr>
              <w:t>85%</w:t>
            </w:r>
          </w:p>
        </w:tc>
        <w:tc>
          <w:tcPr>
            <w:tcW w:w="1170" w:type="dxa"/>
            <w:vAlign w:val="center"/>
          </w:tcPr>
          <w:p w14:paraId="0EEFA59D" w14:textId="31B79A8F" w:rsidR="00141F46" w:rsidRDefault="00141F46" w:rsidP="00980558">
            <w:pPr>
              <w:jc w:val="center"/>
              <w:rPr>
                <w:sz w:val="21"/>
                <w:szCs w:val="21"/>
              </w:rPr>
            </w:pPr>
            <w:r>
              <w:rPr>
                <w:sz w:val="21"/>
                <w:szCs w:val="21"/>
              </w:rPr>
              <w:t>86%</w:t>
            </w:r>
          </w:p>
        </w:tc>
        <w:tc>
          <w:tcPr>
            <w:tcW w:w="1170" w:type="dxa"/>
            <w:shd w:val="clear" w:color="auto" w:fill="E0F1EE" w:themeFill="accent1" w:themeFillTint="1A"/>
            <w:vAlign w:val="center"/>
          </w:tcPr>
          <w:p w14:paraId="02382018" w14:textId="113DE7BB" w:rsidR="00141F46" w:rsidRPr="006433A9" w:rsidRDefault="00141F46" w:rsidP="00980558">
            <w:pPr>
              <w:jc w:val="center"/>
              <w:rPr>
                <w:sz w:val="21"/>
                <w:szCs w:val="21"/>
              </w:rPr>
            </w:pPr>
            <w:r>
              <w:rPr>
                <w:sz w:val="21"/>
                <w:szCs w:val="21"/>
              </w:rPr>
              <w:t>88%</w:t>
            </w:r>
          </w:p>
        </w:tc>
        <w:tc>
          <w:tcPr>
            <w:tcW w:w="900" w:type="dxa"/>
            <w:vAlign w:val="center"/>
          </w:tcPr>
          <w:p w14:paraId="6B1B3344" w14:textId="482AC1A8" w:rsidR="00141F46" w:rsidRPr="006433A9" w:rsidRDefault="00141F46" w:rsidP="00980558">
            <w:pPr>
              <w:rPr>
                <w:sz w:val="21"/>
                <w:szCs w:val="21"/>
              </w:rPr>
            </w:pPr>
            <w:r>
              <w:rPr>
                <w:sz w:val="21"/>
                <w:szCs w:val="21"/>
              </w:rPr>
              <w:t>Foothill</w:t>
            </w:r>
          </w:p>
        </w:tc>
        <w:tc>
          <w:tcPr>
            <w:tcW w:w="990" w:type="dxa"/>
            <w:vAlign w:val="center"/>
          </w:tcPr>
          <w:p w14:paraId="0D8A985D" w14:textId="17374FCD" w:rsidR="00141F46" w:rsidRPr="006433A9" w:rsidRDefault="00141F46" w:rsidP="00980558">
            <w:pPr>
              <w:jc w:val="center"/>
              <w:rPr>
                <w:sz w:val="21"/>
                <w:szCs w:val="21"/>
              </w:rPr>
            </w:pPr>
            <w:r>
              <w:rPr>
                <w:sz w:val="21"/>
                <w:szCs w:val="21"/>
              </w:rPr>
              <w:t>90%</w:t>
            </w:r>
          </w:p>
        </w:tc>
      </w:tr>
    </w:tbl>
    <w:p w14:paraId="45D6D5CD" w14:textId="77777777" w:rsidR="00E31588" w:rsidRPr="0027523D" w:rsidRDefault="00E31588" w:rsidP="00E31588">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p>
    <w:p w14:paraId="6C18CED1" w14:textId="202B834C" w:rsidR="00891DFA" w:rsidRDefault="002155A4" w:rsidP="00891DFA">
      <w:pPr>
        <w:pStyle w:val="Heading1"/>
      </w:pPr>
      <w:r>
        <w:t>Skill</w:t>
      </w:r>
      <w:r w:rsidR="00CE4C7B">
        <w:t>s</w:t>
      </w:r>
      <w:r>
        <w:t xml:space="preserve"> &amp; Certifications</w:t>
      </w:r>
    </w:p>
    <w:p w14:paraId="6B697F77" w14:textId="195AAF68" w:rsidR="001342CC" w:rsidRDefault="00B87926" w:rsidP="00A91137">
      <w:pPr>
        <w:pStyle w:val="NoSpacing"/>
        <w:spacing w:after="80"/>
        <w:rPr>
          <w:b/>
        </w:rPr>
      </w:pPr>
      <w:r>
        <w:rPr>
          <w:b/>
        </w:rPr>
        <w:t>Table 8</w:t>
      </w:r>
      <w:r w:rsidR="00346FAC">
        <w:rPr>
          <w:b/>
        </w:rPr>
        <w:t xml:space="preserve">. Top Skills </w:t>
      </w:r>
      <w:r w:rsidR="007C1B24">
        <w:rPr>
          <w:b/>
        </w:rPr>
        <w:t xml:space="preserve">and Certifications </w:t>
      </w:r>
      <w:r w:rsidR="001342CC" w:rsidRPr="00552133">
        <w:rPr>
          <w:b/>
        </w:rPr>
        <w:t xml:space="preserve">for </w:t>
      </w:r>
      <w:r w:rsidR="007C1B24">
        <w:rPr>
          <w:b/>
        </w:rPr>
        <w:t xml:space="preserve">Firefighters </w:t>
      </w:r>
      <w:r w:rsidR="00063D96">
        <w:rPr>
          <w:b/>
        </w:rPr>
        <w:t xml:space="preserve">in the Bay Region </w:t>
      </w:r>
      <w:r w:rsidR="00636E31">
        <w:rPr>
          <w:b/>
        </w:rPr>
        <w:t xml:space="preserve">(Feb 2017 – Jan </w:t>
      </w:r>
      <w:r w:rsidR="007C1B24">
        <w:rPr>
          <w:b/>
        </w:rPr>
        <w:t>2018)</w:t>
      </w:r>
    </w:p>
    <w:p w14:paraId="6737B3C6" w14:textId="4903A09D" w:rsidR="0000448C" w:rsidRPr="007C1B24" w:rsidRDefault="003A698D" w:rsidP="00A91137">
      <w:pPr>
        <w:pStyle w:val="NoSpacing"/>
        <w:rPr>
          <w:b/>
          <w:sz w:val="21"/>
          <w:szCs w:val="21"/>
        </w:rPr>
      </w:pPr>
      <w:r w:rsidRPr="007C1B24">
        <w:rPr>
          <w:rFonts w:asciiTheme="minorHAnsi" w:eastAsia="Times New Roman" w:hAnsiTheme="minorHAnsi"/>
          <w:color w:val="auto"/>
          <w:sz w:val="21"/>
          <w:szCs w:val="21"/>
        </w:rPr>
        <w:t>Note: 42</w:t>
      </w:r>
      <w:r w:rsidR="0000448C" w:rsidRPr="007C1B24">
        <w:rPr>
          <w:rFonts w:asciiTheme="minorHAnsi" w:eastAsia="Times New Roman" w:hAnsiTheme="minorHAnsi"/>
          <w:color w:val="auto"/>
          <w:sz w:val="21"/>
          <w:szCs w:val="21"/>
        </w:rPr>
        <w:t xml:space="preserve">% of records have been excluded because they do not include a </w:t>
      </w:r>
      <w:r w:rsidRPr="007C1B24">
        <w:rPr>
          <w:rFonts w:asciiTheme="minorHAnsi" w:eastAsia="Times New Roman" w:hAnsiTheme="minorHAnsi"/>
          <w:color w:val="auto"/>
          <w:sz w:val="21"/>
          <w:szCs w:val="21"/>
        </w:rPr>
        <w:t>skill</w:t>
      </w:r>
      <w:r w:rsidR="0000448C" w:rsidRPr="007C1B24">
        <w:rPr>
          <w:rFonts w:asciiTheme="minorHAnsi" w:eastAsia="Times New Roman" w:hAnsiTheme="minorHAnsi"/>
          <w:color w:val="auto"/>
          <w:sz w:val="21"/>
          <w:szCs w:val="21"/>
        </w:rPr>
        <w:t>.</w:t>
      </w:r>
      <w:r w:rsidRPr="007C1B24">
        <w:rPr>
          <w:rFonts w:asciiTheme="minorHAnsi" w:eastAsia="Times New Roman" w:hAnsiTheme="minorHAnsi"/>
          <w:color w:val="auto"/>
          <w:sz w:val="21"/>
          <w:szCs w:val="21"/>
        </w:rPr>
        <w:t xml:space="preserve"> </w:t>
      </w:r>
      <w:r w:rsidR="007C1B24" w:rsidRPr="007C1B24">
        <w:rPr>
          <w:rFonts w:asciiTheme="minorHAnsi" w:eastAsia="Times New Roman" w:hAnsiTheme="minorHAnsi"/>
          <w:color w:val="auto"/>
          <w:sz w:val="21"/>
          <w:szCs w:val="21"/>
        </w:rPr>
        <w:t>47% of records have been excluded because they do not include a certification. As a result, the charts below may not be representative of the full sample.</w:t>
      </w:r>
    </w:p>
    <w:tbl>
      <w:tblPr>
        <w:tblW w:w="105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05"/>
        <w:gridCol w:w="900"/>
        <w:gridCol w:w="5220"/>
        <w:gridCol w:w="900"/>
      </w:tblGrid>
      <w:tr w:rsidR="007C1B24" w:rsidRPr="00DA0761" w14:paraId="513A28BD" w14:textId="75AD1373" w:rsidTr="00436101">
        <w:trPr>
          <w:trHeight w:val="332"/>
        </w:trPr>
        <w:tc>
          <w:tcPr>
            <w:tcW w:w="3505" w:type="dxa"/>
            <w:shd w:val="clear" w:color="auto" w:fill="B4DDD6" w:themeFill="text2" w:themeFillTint="40"/>
            <w:vAlign w:val="center"/>
          </w:tcPr>
          <w:p w14:paraId="494BD764" w14:textId="77777777" w:rsidR="007C1B24" w:rsidRPr="00DA0761" w:rsidRDefault="007C1B24" w:rsidP="00346FAC">
            <w:pPr>
              <w:spacing w:line="240" w:lineRule="auto"/>
              <w:contextualSpacing/>
              <w:rPr>
                <w:b/>
              </w:rPr>
            </w:pPr>
            <w:r w:rsidRPr="00DA0761">
              <w:rPr>
                <w:b/>
              </w:rPr>
              <w:t>Skill</w:t>
            </w:r>
          </w:p>
        </w:tc>
        <w:tc>
          <w:tcPr>
            <w:tcW w:w="900" w:type="dxa"/>
            <w:tcBorders>
              <w:right w:val="single" w:sz="4" w:space="0" w:color="BFBFBF" w:themeColor="background1" w:themeShade="BF"/>
            </w:tcBorders>
            <w:shd w:val="clear" w:color="auto" w:fill="B4DDD6" w:themeFill="text2" w:themeFillTint="40"/>
            <w:vAlign w:val="center"/>
          </w:tcPr>
          <w:p w14:paraId="7D92E52D" w14:textId="0896D082" w:rsidR="007C1B24" w:rsidRPr="00436101" w:rsidRDefault="00A91137" w:rsidP="00346FAC">
            <w:pPr>
              <w:spacing w:line="240" w:lineRule="auto"/>
              <w:contextualSpacing/>
              <w:jc w:val="center"/>
              <w:rPr>
                <w:b/>
                <w:sz w:val="18"/>
                <w:szCs w:val="18"/>
              </w:rPr>
            </w:pPr>
            <w:r w:rsidRPr="00436101">
              <w:rPr>
                <w:b/>
                <w:sz w:val="18"/>
                <w:szCs w:val="18"/>
              </w:rPr>
              <w:t>Postings</w:t>
            </w:r>
          </w:p>
        </w:tc>
        <w:tc>
          <w:tcPr>
            <w:tcW w:w="5220" w:type="dxa"/>
            <w:tcBorders>
              <w:left w:val="single" w:sz="4" w:space="0" w:color="BFBFBF" w:themeColor="background1" w:themeShade="BF"/>
              <w:right w:val="single" w:sz="4" w:space="0" w:color="BFBFBF" w:themeColor="background1" w:themeShade="BF"/>
            </w:tcBorders>
            <w:shd w:val="clear" w:color="auto" w:fill="D1E63A" w:themeFill="accent3" w:themeFillTint="99"/>
            <w:vAlign w:val="center"/>
          </w:tcPr>
          <w:p w14:paraId="53419607" w14:textId="2D4479CB" w:rsidR="007C1B24" w:rsidRPr="005E4F2B" w:rsidRDefault="007C1B24" w:rsidP="005F445F">
            <w:pPr>
              <w:spacing w:line="240" w:lineRule="auto"/>
              <w:contextualSpacing/>
              <w:rPr>
                <w:b/>
                <w:sz w:val="18"/>
                <w:szCs w:val="18"/>
              </w:rPr>
            </w:pPr>
            <w:r>
              <w:rPr>
                <w:b/>
              </w:rPr>
              <w:t>Certifications</w:t>
            </w:r>
          </w:p>
        </w:tc>
        <w:tc>
          <w:tcPr>
            <w:tcW w:w="90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1E63A" w:themeFill="accent3" w:themeFillTint="99"/>
            <w:vAlign w:val="center"/>
          </w:tcPr>
          <w:p w14:paraId="737E6A31" w14:textId="216510F9" w:rsidR="007C1B24" w:rsidRPr="00436101" w:rsidRDefault="007C1B24" w:rsidP="00346FAC">
            <w:pPr>
              <w:spacing w:line="240" w:lineRule="auto"/>
              <w:contextualSpacing/>
              <w:jc w:val="center"/>
              <w:rPr>
                <w:b/>
                <w:sz w:val="18"/>
                <w:szCs w:val="18"/>
              </w:rPr>
            </w:pPr>
            <w:r w:rsidRPr="00436101">
              <w:rPr>
                <w:b/>
                <w:sz w:val="18"/>
                <w:szCs w:val="18"/>
              </w:rPr>
              <w:t>Postings</w:t>
            </w:r>
          </w:p>
        </w:tc>
      </w:tr>
      <w:tr w:rsidR="007C1B24" w:rsidRPr="00DA0761" w14:paraId="2BFD9921" w14:textId="46DE56C4" w:rsidTr="00436101">
        <w:trPr>
          <w:trHeight w:val="206"/>
        </w:trPr>
        <w:tc>
          <w:tcPr>
            <w:tcW w:w="3505" w:type="dxa"/>
            <w:vAlign w:val="center"/>
          </w:tcPr>
          <w:p w14:paraId="3F39B88C" w14:textId="19EAFEA8" w:rsidR="007C1B24" w:rsidRPr="003A698D" w:rsidRDefault="007C1B24" w:rsidP="007C1B24">
            <w:pPr>
              <w:spacing w:line="240" w:lineRule="auto"/>
              <w:contextualSpacing/>
              <w:rPr>
                <w:rFonts w:asciiTheme="minorHAnsi" w:hAnsiTheme="minorHAnsi"/>
                <w:sz w:val="21"/>
                <w:szCs w:val="21"/>
              </w:rPr>
            </w:pPr>
            <w:r w:rsidRPr="003A698D">
              <w:rPr>
                <w:sz w:val="21"/>
                <w:szCs w:val="21"/>
              </w:rPr>
              <w:t>Inspection</w:t>
            </w:r>
          </w:p>
        </w:tc>
        <w:tc>
          <w:tcPr>
            <w:tcW w:w="900" w:type="dxa"/>
            <w:vAlign w:val="center"/>
          </w:tcPr>
          <w:p w14:paraId="24699D31" w14:textId="739C9331" w:rsidR="007C1B24" w:rsidRPr="003A698D" w:rsidRDefault="007C1B24" w:rsidP="007C1B24">
            <w:pPr>
              <w:spacing w:line="240" w:lineRule="auto"/>
              <w:contextualSpacing/>
              <w:jc w:val="center"/>
              <w:rPr>
                <w:rFonts w:asciiTheme="minorHAnsi" w:hAnsiTheme="minorHAnsi"/>
                <w:sz w:val="21"/>
                <w:szCs w:val="21"/>
              </w:rPr>
            </w:pPr>
            <w:r w:rsidRPr="003A698D">
              <w:rPr>
                <w:sz w:val="21"/>
                <w:szCs w:val="21"/>
              </w:rPr>
              <w:t>16</w:t>
            </w:r>
          </w:p>
        </w:tc>
        <w:tc>
          <w:tcPr>
            <w:tcW w:w="5220" w:type="dxa"/>
            <w:vAlign w:val="center"/>
          </w:tcPr>
          <w:p w14:paraId="342CADE7" w14:textId="4C755888" w:rsidR="007C1B24" w:rsidRPr="007C1B24" w:rsidRDefault="007C1B24" w:rsidP="007C1B24">
            <w:pPr>
              <w:spacing w:line="240" w:lineRule="auto"/>
              <w:contextualSpacing/>
              <w:rPr>
                <w:sz w:val="21"/>
                <w:szCs w:val="21"/>
              </w:rPr>
            </w:pPr>
            <w:r w:rsidRPr="007C1B24">
              <w:rPr>
                <w:sz w:val="21"/>
                <w:szCs w:val="21"/>
              </w:rPr>
              <w:t>Emergency Medical Technician (EMT)</w:t>
            </w:r>
          </w:p>
        </w:tc>
        <w:tc>
          <w:tcPr>
            <w:tcW w:w="900" w:type="dxa"/>
            <w:tcBorders>
              <w:right w:val="single" w:sz="4" w:space="0" w:color="BFBFBF" w:themeColor="background1" w:themeShade="BF"/>
            </w:tcBorders>
            <w:vAlign w:val="center"/>
          </w:tcPr>
          <w:p w14:paraId="0CDC42F2" w14:textId="4CD2266F" w:rsidR="007C1B24" w:rsidRPr="007C1B24" w:rsidRDefault="007C1B24" w:rsidP="007C1B24">
            <w:pPr>
              <w:spacing w:line="240" w:lineRule="auto"/>
              <w:contextualSpacing/>
              <w:jc w:val="center"/>
              <w:rPr>
                <w:sz w:val="21"/>
                <w:szCs w:val="21"/>
              </w:rPr>
            </w:pPr>
            <w:r w:rsidRPr="007C1B24">
              <w:rPr>
                <w:sz w:val="21"/>
                <w:szCs w:val="21"/>
              </w:rPr>
              <w:t>23</w:t>
            </w:r>
          </w:p>
        </w:tc>
      </w:tr>
      <w:tr w:rsidR="007C1B24" w:rsidRPr="00DA0761" w14:paraId="7539BEFF" w14:textId="329FCA86" w:rsidTr="00436101">
        <w:trPr>
          <w:trHeight w:val="206"/>
        </w:trPr>
        <w:tc>
          <w:tcPr>
            <w:tcW w:w="3505" w:type="dxa"/>
            <w:vAlign w:val="center"/>
          </w:tcPr>
          <w:p w14:paraId="3AE84375" w14:textId="0205BA65" w:rsidR="007C1B24" w:rsidRPr="003A698D" w:rsidRDefault="007C1B24" w:rsidP="007C1B24">
            <w:pPr>
              <w:spacing w:line="240" w:lineRule="auto"/>
              <w:contextualSpacing/>
              <w:rPr>
                <w:rFonts w:asciiTheme="minorHAnsi" w:hAnsiTheme="minorHAnsi"/>
                <w:sz w:val="21"/>
                <w:szCs w:val="21"/>
              </w:rPr>
            </w:pPr>
            <w:r w:rsidRPr="003A698D">
              <w:rPr>
                <w:sz w:val="21"/>
                <w:szCs w:val="21"/>
              </w:rPr>
              <w:lastRenderedPageBreak/>
              <w:t>Life Support</w:t>
            </w:r>
          </w:p>
        </w:tc>
        <w:tc>
          <w:tcPr>
            <w:tcW w:w="900" w:type="dxa"/>
            <w:vAlign w:val="center"/>
          </w:tcPr>
          <w:p w14:paraId="7B70A961" w14:textId="299D4FA3" w:rsidR="007C1B24" w:rsidRPr="003A698D" w:rsidRDefault="007C1B24" w:rsidP="007C1B24">
            <w:pPr>
              <w:spacing w:line="240" w:lineRule="auto"/>
              <w:contextualSpacing/>
              <w:jc w:val="center"/>
              <w:rPr>
                <w:rFonts w:asciiTheme="minorHAnsi" w:hAnsiTheme="minorHAnsi"/>
                <w:sz w:val="21"/>
                <w:szCs w:val="21"/>
              </w:rPr>
            </w:pPr>
            <w:r w:rsidRPr="003A698D">
              <w:rPr>
                <w:sz w:val="21"/>
                <w:szCs w:val="21"/>
              </w:rPr>
              <w:t>11</w:t>
            </w:r>
          </w:p>
        </w:tc>
        <w:tc>
          <w:tcPr>
            <w:tcW w:w="5220" w:type="dxa"/>
            <w:vAlign w:val="center"/>
          </w:tcPr>
          <w:p w14:paraId="0C189D13" w14:textId="35193FAD" w:rsidR="007C1B24" w:rsidRPr="007C1B24" w:rsidRDefault="007C1B24" w:rsidP="007C1B24">
            <w:pPr>
              <w:spacing w:line="240" w:lineRule="auto"/>
              <w:contextualSpacing/>
              <w:rPr>
                <w:sz w:val="21"/>
                <w:szCs w:val="21"/>
              </w:rPr>
            </w:pPr>
            <w:r w:rsidRPr="007C1B24">
              <w:rPr>
                <w:sz w:val="21"/>
                <w:szCs w:val="21"/>
              </w:rPr>
              <w:t>Firefighter</w:t>
            </w:r>
          </w:p>
        </w:tc>
        <w:tc>
          <w:tcPr>
            <w:tcW w:w="900" w:type="dxa"/>
            <w:tcBorders>
              <w:right w:val="single" w:sz="4" w:space="0" w:color="BFBFBF" w:themeColor="background1" w:themeShade="BF"/>
            </w:tcBorders>
            <w:vAlign w:val="center"/>
          </w:tcPr>
          <w:p w14:paraId="330B8895" w14:textId="24AC910A" w:rsidR="007C1B24" w:rsidRPr="007C1B24" w:rsidRDefault="007C1B24" w:rsidP="007C1B24">
            <w:pPr>
              <w:spacing w:line="240" w:lineRule="auto"/>
              <w:contextualSpacing/>
              <w:jc w:val="center"/>
              <w:rPr>
                <w:sz w:val="21"/>
                <w:szCs w:val="21"/>
              </w:rPr>
            </w:pPr>
            <w:r w:rsidRPr="007C1B24">
              <w:rPr>
                <w:sz w:val="21"/>
                <w:szCs w:val="21"/>
              </w:rPr>
              <w:t>15</w:t>
            </w:r>
          </w:p>
        </w:tc>
      </w:tr>
      <w:tr w:rsidR="007C1B24" w:rsidRPr="00DA0761" w14:paraId="7CFF722F" w14:textId="4287E397" w:rsidTr="00436101">
        <w:trPr>
          <w:trHeight w:val="260"/>
        </w:trPr>
        <w:tc>
          <w:tcPr>
            <w:tcW w:w="3505" w:type="dxa"/>
            <w:vAlign w:val="center"/>
          </w:tcPr>
          <w:p w14:paraId="43613FD6" w14:textId="3FAC4BC3" w:rsidR="007C1B24" w:rsidRPr="003A698D" w:rsidRDefault="007C1B24" w:rsidP="007C1B24">
            <w:pPr>
              <w:spacing w:line="240" w:lineRule="auto"/>
              <w:contextualSpacing/>
              <w:rPr>
                <w:rFonts w:asciiTheme="minorHAnsi" w:hAnsiTheme="minorHAnsi"/>
                <w:sz w:val="21"/>
                <w:szCs w:val="21"/>
              </w:rPr>
            </w:pPr>
            <w:r w:rsidRPr="003A698D">
              <w:rPr>
                <w:sz w:val="21"/>
                <w:szCs w:val="21"/>
              </w:rPr>
              <w:t>Fire Suppression</w:t>
            </w:r>
          </w:p>
        </w:tc>
        <w:tc>
          <w:tcPr>
            <w:tcW w:w="900" w:type="dxa"/>
            <w:vAlign w:val="center"/>
          </w:tcPr>
          <w:p w14:paraId="04DAD0AF" w14:textId="5B96B65A" w:rsidR="007C1B24" w:rsidRPr="003A698D" w:rsidRDefault="007C1B24" w:rsidP="007C1B24">
            <w:pPr>
              <w:spacing w:line="240" w:lineRule="auto"/>
              <w:contextualSpacing/>
              <w:jc w:val="center"/>
              <w:rPr>
                <w:rFonts w:asciiTheme="minorHAnsi" w:hAnsiTheme="minorHAnsi"/>
                <w:sz w:val="21"/>
                <w:szCs w:val="21"/>
              </w:rPr>
            </w:pPr>
            <w:r w:rsidRPr="003A698D">
              <w:rPr>
                <w:sz w:val="21"/>
                <w:szCs w:val="21"/>
              </w:rPr>
              <w:t>10</w:t>
            </w:r>
          </w:p>
        </w:tc>
        <w:tc>
          <w:tcPr>
            <w:tcW w:w="5220" w:type="dxa"/>
            <w:vAlign w:val="center"/>
          </w:tcPr>
          <w:p w14:paraId="0F12C167" w14:textId="0B44E129" w:rsidR="007C1B24" w:rsidRPr="007C1B24" w:rsidRDefault="007C1B24" w:rsidP="007C1B24">
            <w:pPr>
              <w:spacing w:line="240" w:lineRule="auto"/>
              <w:contextualSpacing/>
              <w:rPr>
                <w:sz w:val="21"/>
                <w:szCs w:val="21"/>
              </w:rPr>
            </w:pPr>
            <w:r w:rsidRPr="007C1B24">
              <w:rPr>
                <w:sz w:val="21"/>
                <w:szCs w:val="21"/>
              </w:rPr>
              <w:t>Certified Patient Account Technician</w:t>
            </w:r>
          </w:p>
        </w:tc>
        <w:tc>
          <w:tcPr>
            <w:tcW w:w="900" w:type="dxa"/>
            <w:tcBorders>
              <w:right w:val="single" w:sz="4" w:space="0" w:color="BFBFBF" w:themeColor="background1" w:themeShade="BF"/>
            </w:tcBorders>
            <w:vAlign w:val="center"/>
          </w:tcPr>
          <w:p w14:paraId="3AEA0D22" w14:textId="6C7EA208" w:rsidR="007C1B24" w:rsidRPr="007C1B24" w:rsidRDefault="007C1B24" w:rsidP="007C1B24">
            <w:pPr>
              <w:spacing w:line="240" w:lineRule="auto"/>
              <w:contextualSpacing/>
              <w:jc w:val="center"/>
              <w:rPr>
                <w:sz w:val="21"/>
                <w:szCs w:val="21"/>
              </w:rPr>
            </w:pPr>
            <w:r w:rsidRPr="007C1B24">
              <w:rPr>
                <w:sz w:val="21"/>
                <w:szCs w:val="21"/>
              </w:rPr>
              <w:t>13</w:t>
            </w:r>
          </w:p>
        </w:tc>
      </w:tr>
      <w:tr w:rsidR="007C1B24" w:rsidRPr="00DA0761" w14:paraId="17DAC84B" w14:textId="2691B54C" w:rsidTr="00436101">
        <w:trPr>
          <w:trHeight w:val="278"/>
        </w:trPr>
        <w:tc>
          <w:tcPr>
            <w:tcW w:w="3505" w:type="dxa"/>
            <w:vAlign w:val="center"/>
          </w:tcPr>
          <w:p w14:paraId="5D903F11" w14:textId="5BB74C19" w:rsidR="007C1B24" w:rsidRPr="003A698D" w:rsidRDefault="007C1B24" w:rsidP="007C1B24">
            <w:pPr>
              <w:spacing w:line="240" w:lineRule="auto"/>
              <w:contextualSpacing/>
              <w:rPr>
                <w:rFonts w:asciiTheme="minorHAnsi" w:hAnsiTheme="minorHAnsi"/>
                <w:sz w:val="21"/>
                <w:szCs w:val="21"/>
              </w:rPr>
            </w:pPr>
            <w:r w:rsidRPr="007C1B24">
              <w:rPr>
                <w:sz w:val="21"/>
                <w:szCs w:val="21"/>
              </w:rPr>
              <w:t>Cardiopulmonary Resuscitation (CPR)</w:t>
            </w:r>
          </w:p>
        </w:tc>
        <w:tc>
          <w:tcPr>
            <w:tcW w:w="900" w:type="dxa"/>
            <w:vAlign w:val="center"/>
          </w:tcPr>
          <w:p w14:paraId="01D069C3" w14:textId="3468A77A" w:rsidR="007C1B24" w:rsidRPr="003A698D" w:rsidRDefault="007C1B24" w:rsidP="007C1B24">
            <w:pPr>
              <w:spacing w:line="240" w:lineRule="auto"/>
              <w:contextualSpacing/>
              <w:jc w:val="center"/>
              <w:rPr>
                <w:rFonts w:asciiTheme="minorHAnsi" w:hAnsiTheme="minorHAnsi"/>
                <w:sz w:val="21"/>
                <w:szCs w:val="21"/>
              </w:rPr>
            </w:pPr>
            <w:r w:rsidRPr="003A698D">
              <w:rPr>
                <w:sz w:val="21"/>
                <w:szCs w:val="21"/>
              </w:rPr>
              <w:t>8</w:t>
            </w:r>
          </w:p>
        </w:tc>
        <w:tc>
          <w:tcPr>
            <w:tcW w:w="5220" w:type="dxa"/>
            <w:vAlign w:val="center"/>
          </w:tcPr>
          <w:p w14:paraId="4E792810" w14:textId="511AF954" w:rsidR="007C1B24" w:rsidRPr="007C1B24" w:rsidRDefault="007C1B24" w:rsidP="007C1B24">
            <w:pPr>
              <w:spacing w:line="240" w:lineRule="auto"/>
              <w:contextualSpacing/>
              <w:rPr>
                <w:sz w:val="21"/>
                <w:szCs w:val="21"/>
              </w:rPr>
            </w:pPr>
            <w:r w:rsidRPr="007C1B24">
              <w:rPr>
                <w:sz w:val="21"/>
                <w:szCs w:val="21"/>
              </w:rPr>
              <w:t>Paramedic Certification</w:t>
            </w:r>
          </w:p>
        </w:tc>
        <w:tc>
          <w:tcPr>
            <w:tcW w:w="900" w:type="dxa"/>
            <w:tcBorders>
              <w:right w:val="single" w:sz="4" w:space="0" w:color="BFBFBF" w:themeColor="background1" w:themeShade="BF"/>
            </w:tcBorders>
            <w:vAlign w:val="center"/>
          </w:tcPr>
          <w:p w14:paraId="5BD3BD9C" w14:textId="12DBDF10" w:rsidR="007C1B24" w:rsidRPr="007C1B24" w:rsidRDefault="007C1B24" w:rsidP="007C1B24">
            <w:pPr>
              <w:spacing w:line="240" w:lineRule="auto"/>
              <w:contextualSpacing/>
              <w:jc w:val="center"/>
              <w:rPr>
                <w:sz w:val="21"/>
                <w:szCs w:val="21"/>
              </w:rPr>
            </w:pPr>
            <w:r w:rsidRPr="007C1B24">
              <w:rPr>
                <w:sz w:val="21"/>
                <w:szCs w:val="21"/>
              </w:rPr>
              <w:t>12</w:t>
            </w:r>
          </w:p>
        </w:tc>
      </w:tr>
      <w:tr w:rsidR="007C1B24" w:rsidRPr="00DA0761" w14:paraId="174171BE" w14:textId="6DC3C455" w:rsidTr="00436101">
        <w:trPr>
          <w:trHeight w:val="278"/>
        </w:trPr>
        <w:tc>
          <w:tcPr>
            <w:tcW w:w="3505" w:type="dxa"/>
            <w:vAlign w:val="center"/>
          </w:tcPr>
          <w:p w14:paraId="3F42A383" w14:textId="1386165E" w:rsidR="007C1B24" w:rsidRPr="003A698D" w:rsidRDefault="007C1B24" w:rsidP="007C1B24">
            <w:pPr>
              <w:spacing w:line="240" w:lineRule="auto"/>
              <w:contextualSpacing/>
              <w:rPr>
                <w:rFonts w:asciiTheme="minorHAnsi" w:hAnsiTheme="minorHAnsi"/>
                <w:sz w:val="21"/>
                <w:szCs w:val="21"/>
              </w:rPr>
            </w:pPr>
            <w:r w:rsidRPr="003A698D">
              <w:rPr>
                <w:sz w:val="21"/>
                <w:szCs w:val="21"/>
              </w:rPr>
              <w:t>Emergency Medical Care</w:t>
            </w:r>
          </w:p>
        </w:tc>
        <w:tc>
          <w:tcPr>
            <w:tcW w:w="900" w:type="dxa"/>
            <w:vAlign w:val="center"/>
          </w:tcPr>
          <w:p w14:paraId="7A87B041" w14:textId="2B774893" w:rsidR="007C1B24" w:rsidRPr="003A698D" w:rsidRDefault="007C1B24" w:rsidP="007C1B24">
            <w:pPr>
              <w:spacing w:line="240" w:lineRule="auto"/>
              <w:contextualSpacing/>
              <w:jc w:val="center"/>
              <w:rPr>
                <w:rFonts w:asciiTheme="minorHAnsi" w:hAnsiTheme="minorHAnsi"/>
                <w:sz w:val="21"/>
                <w:szCs w:val="21"/>
              </w:rPr>
            </w:pPr>
            <w:r w:rsidRPr="003A698D">
              <w:rPr>
                <w:sz w:val="21"/>
                <w:szCs w:val="21"/>
              </w:rPr>
              <w:t>8</w:t>
            </w:r>
          </w:p>
        </w:tc>
        <w:tc>
          <w:tcPr>
            <w:tcW w:w="5220" w:type="dxa"/>
            <w:vAlign w:val="center"/>
          </w:tcPr>
          <w:p w14:paraId="19A10FA1" w14:textId="18093099" w:rsidR="007C1B24" w:rsidRPr="007C1B24" w:rsidRDefault="007C1B24" w:rsidP="007C1B24">
            <w:pPr>
              <w:spacing w:line="240" w:lineRule="auto"/>
              <w:contextualSpacing/>
              <w:rPr>
                <w:sz w:val="21"/>
                <w:szCs w:val="21"/>
              </w:rPr>
            </w:pPr>
            <w:r w:rsidRPr="007C1B24">
              <w:rPr>
                <w:sz w:val="21"/>
                <w:szCs w:val="21"/>
              </w:rPr>
              <w:t xml:space="preserve">First Aid </w:t>
            </w:r>
            <w:proofErr w:type="spellStart"/>
            <w:r w:rsidRPr="007C1B24">
              <w:rPr>
                <w:sz w:val="21"/>
                <w:szCs w:val="21"/>
              </w:rPr>
              <w:t>Cpr</w:t>
            </w:r>
            <w:proofErr w:type="spellEnd"/>
            <w:r w:rsidRPr="007C1B24">
              <w:rPr>
                <w:sz w:val="21"/>
                <w:szCs w:val="21"/>
              </w:rPr>
              <w:t xml:space="preserve"> AED</w:t>
            </w:r>
          </w:p>
        </w:tc>
        <w:tc>
          <w:tcPr>
            <w:tcW w:w="900" w:type="dxa"/>
            <w:tcBorders>
              <w:right w:val="single" w:sz="4" w:space="0" w:color="BFBFBF" w:themeColor="background1" w:themeShade="BF"/>
            </w:tcBorders>
            <w:vAlign w:val="center"/>
          </w:tcPr>
          <w:p w14:paraId="467A2C97" w14:textId="339A1182" w:rsidR="007C1B24" w:rsidRPr="007C1B24" w:rsidRDefault="007C1B24" w:rsidP="007C1B24">
            <w:pPr>
              <w:spacing w:line="240" w:lineRule="auto"/>
              <w:contextualSpacing/>
              <w:jc w:val="center"/>
              <w:rPr>
                <w:sz w:val="21"/>
                <w:szCs w:val="21"/>
              </w:rPr>
            </w:pPr>
            <w:r w:rsidRPr="007C1B24">
              <w:rPr>
                <w:sz w:val="21"/>
                <w:szCs w:val="21"/>
              </w:rPr>
              <w:t>6</w:t>
            </w:r>
          </w:p>
        </w:tc>
      </w:tr>
      <w:tr w:rsidR="007C1B24" w:rsidRPr="00DA0761" w14:paraId="11DA65CE" w14:textId="358A9F47" w:rsidTr="00436101">
        <w:trPr>
          <w:trHeight w:val="278"/>
        </w:trPr>
        <w:tc>
          <w:tcPr>
            <w:tcW w:w="3505" w:type="dxa"/>
            <w:tcBorders>
              <w:bottom w:val="single" w:sz="4" w:space="0" w:color="BFBFBF" w:themeColor="background1" w:themeShade="BF"/>
            </w:tcBorders>
            <w:vAlign w:val="center"/>
          </w:tcPr>
          <w:p w14:paraId="44B540B2" w14:textId="08349808" w:rsidR="007C1B24" w:rsidRPr="003A698D" w:rsidRDefault="007C1B24" w:rsidP="007C1B24">
            <w:pPr>
              <w:spacing w:line="240" w:lineRule="auto"/>
              <w:contextualSpacing/>
              <w:rPr>
                <w:rFonts w:asciiTheme="minorHAnsi" w:hAnsiTheme="minorHAnsi"/>
                <w:sz w:val="21"/>
                <w:szCs w:val="21"/>
              </w:rPr>
            </w:pPr>
            <w:r w:rsidRPr="003A698D">
              <w:rPr>
                <w:sz w:val="21"/>
                <w:szCs w:val="21"/>
              </w:rPr>
              <w:t>Advanced Cardiac Life Support (ACLS)</w:t>
            </w:r>
          </w:p>
        </w:tc>
        <w:tc>
          <w:tcPr>
            <w:tcW w:w="900" w:type="dxa"/>
            <w:tcBorders>
              <w:bottom w:val="single" w:sz="4" w:space="0" w:color="BFBFBF" w:themeColor="background1" w:themeShade="BF"/>
            </w:tcBorders>
            <w:vAlign w:val="center"/>
          </w:tcPr>
          <w:p w14:paraId="787FB441" w14:textId="2FE303D7" w:rsidR="007C1B24" w:rsidRPr="003A698D" w:rsidRDefault="007C1B24" w:rsidP="007C1B24">
            <w:pPr>
              <w:spacing w:line="240" w:lineRule="auto"/>
              <w:contextualSpacing/>
              <w:jc w:val="center"/>
              <w:rPr>
                <w:rFonts w:asciiTheme="minorHAnsi" w:hAnsiTheme="minorHAnsi"/>
                <w:sz w:val="21"/>
                <w:szCs w:val="21"/>
              </w:rPr>
            </w:pPr>
            <w:r w:rsidRPr="003A698D">
              <w:rPr>
                <w:sz w:val="21"/>
                <w:szCs w:val="21"/>
              </w:rPr>
              <w:t>5</w:t>
            </w:r>
          </w:p>
        </w:tc>
        <w:tc>
          <w:tcPr>
            <w:tcW w:w="5220" w:type="dxa"/>
            <w:tcBorders>
              <w:bottom w:val="single" w:sz="4" w:space="0" w:color="BFBFBF" w:themeColor="background1" w:themeShade="BF"/>
            </w:tcBorders>
            <w:vAlign w:val="center"/>
          </w:tcPr>
          <w:p w14:paraId="2888D69A" w14:textId="07F6020E" w:rsidR="007C1B24" w:rsidRPr="007C1B24" w:rsidRDefault="00A56CE1" w:rsidP="007C1B24">
            <w:pPr>
              <w:spacing w:line="240" w:lineRule="auto"/>
              <w:contextualSpacing/>
              <w:rPr>
                <w:sz w:val="21"/>
                <w:szCs w:val="21"/>
              </w:rPr>
            </w:pPr>
            <w:r>
              <w:rPr>
                <w:sz w:val="21"/>
                <w:szCs w:val="21"/>
              </w:rPr>
              <w:t>Commercial Driver's</w:t>
            </w:r>
            <w:r w:rsidR="007C1B24" w:rsidRPr="007C1B24">
              <w:rPr>
                <w:sz w:val="21"/>
                <w:szCs w:val="21"/>
              </w:rPr>
              <w:t xml:space="preserve"> License</w:t>
            </w:r>
          </w:p>
        </w:tc>
        <w:tc>
          <w:tcPr>
            <w:tcW w:w="900" w:type="dxa"/>
            <w:tcBorders>
              <w:right w:val="single" w:sz="4" w:space="0" w:color="BFBFBF" w:themeColor="background1" w:themeShade="BF"/>
            </w:tcBorders>
            <w:vAlign w:val="center"/>
          </w:tcPr>
          <w:p w14:paraId="171C6183" w14:textId="333B7FFF" w:rsidR="007C1B24" w:rsidRPr="007C1B24" w:rsidRDefault="007C1B24" w:rsidP="007C1B24">
            <w:pPr>
              <w:spacing w:line="240" w:lineRule="auto"/>
              <w:contextualSpacing/>
              <w:jc w:val="center"/>
              <w:rPr>
                <w:sz w:val="21"/>
                <w:szCs w:val="21"/>
              </w:rPr>
            </w:pPr>
            <w:r w:rsidRPr="007C1B24">
              <w:rPr>
                <w:sz w:val="21"/>
                <w:szCs w:val="21"/>
              </w:rPr>
              <w:t>5</w:t>
            </w:r>
          </w:p>
        </w:tc>
      </w:tr>
      <w:tr w:rsidR="00A91137" w:rsidRPr="00DA0761" w14:paraId="7B7106CB" w14:textId="6EA998B9" w:rsidTr="00436101">
        <w:trPr>
          <w:trHeight w:val="278"/>
        </w:trPr>
        <w:tc>
          <w:tcPr>
            <w:tcW w:w="3505" w:type="dxa"/>
            <w:tcBorders>
              <w:left w:val="nil"/>
              <w:bottom w:val="nil"/>
              <w:right w:val="nil"/>
            </w:tcBorders>
            <w:vAlign w:val="center"/>
          </w:tcPr>
          <w:p w14:paraId="35691828" w14:textId="3632DC9C" w:rsidR="007C1B24" w:rsidRPr="00A91137" w:rsidRDefault="00A91137" w:rsidP="007C1B24">
            <w:pPr>
              <w:spacing w:line="240" w:lineRule="auto"/>
              <w:contextualSpacing/>
              <w:rPr>
                <w:i/>
                <w:sz w:val="18"/>
                <w:szCs w:val="18"/>
              </w:rPr>
            </w:pPr>
            <w:r w:rsidRPr="00A91137">
              <w:rPr>
                <w:i/>
                <w:sz w:val="18"/>
                <w:szCs w:val="18"/>
              </w:rPr>
              <w:t>Source: Burning Glass</w:t>
            </w:r>
          </w:p>
        </w:tc>
        <w:tc>
          <w:tcPr>
            <w:tcW w:w="900" w:type="dxa"/>
            <w:tcBorders>
              <w:left w:val="nil"/>
              <w:bottom w:val="nil"/>
              <w:right w:val="single" w:sz="4" w:space="0" w:color="BFBFBF" w:themeColor="background1" w:themeShade="BF"/>
            </w:tcBorders>
            <w:vAlign w:val="center"/>
          </w:tcPr>
          <w:p w14:paraId="1BD08FB3" w14:textId="309A6485" w:rsidR="007C1B24" w:rsidRPr="003A698D" w:rsidRDefault="007C1B24" w:rsidP="007C1B24">
            <w:pPr>
              <w:spacing w:line="240" w:lineRule="auto"/>
              <w:contextualSpacing/>
              <w:jc w:val="center"/>
              <w:rPr>
                <w:sz w:val="21"/>
                <w:szCs w:val="21"/>
              </w:rPr>
            </w:pPr>
          </w:p>
        </w:tc>
        <w:tc>
          <w:tcPr>
            <w:tcW w:w="5220" w:type="dxa"/>
            <w:tcBorders>
              <w:left w:val="single" w:sz="4" w:space="0" w:color="BFBFBF" w:themeColor="background1" w:themeShade="BF"/>
            </w:tcBorders>
            <w:vAlign w:val="center"/>
          </w:tcPr>
          <w:p w14:paraId="2B257F59" w14:textId="0D816C0D" w:rsidR="007C1B24" w:rsidRPr="007C1B24" w:rsidRDefault="007C1B24" w:rsidP="00436101">
            <w:pPr>
              <w:spacing w:line="240" w:lineRule="auto"/>
              <w:contextualSpacing/>
              <w:rPr>
                <w:sz w:val="20"/>
                <w:szCs w:val="20"/>
              </w:rPr>
            </w:pPr>
            <w:r w:rsidRPr="007C1B24">
              <w:rPr>
                <w:sz w:val="20"/>
                <w:szCs w:val="20"/>
              </w:rPr>
              <w:t>National Registry Of Emergency Medical Technicians (N</w:t>
            </w:r>
            <w:r w:rsidR="00436101">
              <w:rPr>
                <w:sz w:val="20"/>
                <w:szCs w:val="20"/>
              </w:rPr>
              <w:t>REMT</w:t>
            </w:r>
            <w:r w:rsidRPr="007C1B24">
              <w:rPr>
                <w:sz w:val="20"/>
                <w:szCs w:val="20"/>
              </w:rPr>
              <w:t>)</w:t>
            </w:r>
          </w:p>
        </w:tc>
        <w:tc>
          <w:tcPr>
            <w:tcW w:w="900" w:type="dxa"/>
            <w:tcBorders>
              <w:right w:val="single" w:sz="4" w:space="0" w:color="BFBFBF" w:themeColor="background1" w:themeShade="BF"/>
            </w:tcBorders>
            <w:vAlign w:val="center"/>
          </w:tcPr>
          <w:p w14:paraId="58935172" w14:textId="771E5128" w:rsidR="007C1B24" w:rsidRPr="007C1B24" w:rsidRDefault="007C1B24" w:rsidP="007C1B24">
            <w:pPr>
              <w:spacing w:line="240" w:lineRule="auto"/>
              <w:contextualSpacing/>
              <w:jc w:val="center"/>
              <w:rPr>
                <w:sz w:val="21"/>
                <w:szCs w:val="21"/>
              </w:rPr>
            </w:pPr>
            <w:r w:rsidRPr="007C1B24">
              <w:rPr>
                <w:sz w:val="21"/>
                <w:szCs w:val="21"/>
              </w:rPr>
              <w:t>4</w:t>
            </w:r>
          </w:p>
        </w:tc>
      </w:tr>
    </w:tbl>
    <w:p w14:paraId="4707F881" w14:textId="77777777" w:rsidR="00636E31" w:rsidRDefault="00636E31" w:rsidP="007C1B24">
      <w:pPr>
        <w:pStyle w:val="NoSpacing"/>
        <w:spacing w:after="120"/>
        <w:rPr>
          <w:b/>
        </w:rPr>
      </w:pPr>
    </w:p>
    <w:p w14:paraId="127B3FAD" w14:textId="5E18A6B4" w:rsidR="007C1B24" w:rsidRDefault="007C1B24" w:rsidP="007C1B24">
      <w:pPr>
        <w:pStyle w:val="NoSpacing"/>
        <w:spacing w:after="120"/>
        <w:rPr>
          <w:b/>
        </w:rPr>
      </w:pPr>
      <w:r>
        <w:rPr>
          <w:b/>
        </w:rPr>
        <w:t>Table 9. Education (Minimum Advertised)</w:t>
      </w:r>
      <w:r w:rsidRPr="00552133">
        <w:rPr>
          <w:b/>
        </w:rPr>
        <w:t xml:space="preserve"> for </w:t>
      </w:r>
      <w:r>
        <w:rPr>
          <w:b/>
        </w:rPr>
        <w:t>Firefighters in the Bay Region</w:t>
      </w:r>
    </w:p>
    <w:p w14:paraId="1D46959C" w14:textId="1ABB0E8B" w:rsidR="007C1B24" w:rsidRPr="00552133" w:rsidRDefault="007C1B24" w:rsidP="007C1B24">
      <w:pPr>
        <w:pStyle w:val="NoSpacing"/>
        <w:spacing w:after="120"/>
        <w:rPr>
          <w:b/>
        </w:rPr>
      </w:pPr>
      <w:r>
        <w:rPr>
          <w:rFonts w:asciiTheme="minorHAnsi" w:eastAsia="Times New Roman" w:hAnsiTheme="minorHAnsi"/>
          <w:color w:val="auto"/>
        </w:rPr>
        <w:t>Note: 63</w:t>
      </w:r>
      <w:r w:rsidRPr="00346FAC">
        <w:rPr>
          <w:rFonts w:asciiTheme="minorHAnsi" w:eastAsia="Times New Roman" w:hAnsiTheme="minorHAnsi"/>
          <w:color w:val="auto"/>
        </w:rPr>
        <w:t xml:space="preserve">% of records have been excluded because they do not include a </w:t>
      </w:r>
      <w:r>
        <w:rPr>
          <w:rFonts w:asciiTheme="minorHAnsi" w:eastAsia="Times New Roman" w:hAnsiTheme="minorHAnsi"/>
          <w:color w:val="auto"/>
        </w:rPr>
        <w:t>degree level</w:t>
      </w:r>
      <w:r w:rsidRPr="00346FAC">
        <w:rPr>
          <w:rFonts w:asciiTheme="minorHAnsi" w:eastAsia="Times New Roman" w:hAnsiTheme="minorHAnsi"/>
          <w:color w:val="auto"/>
        </w:rPr>
        <w:t>. As a result, the chart below may not be representative of the full sample.</w:t>
      </w:r>
      <w:r>
        <w:rPr>
          <w:rFonts w:asciiTheme="minorHAnsi" w:eastAsia="Times New Roman" w:hAnsiTheme="minorHAnsi"/>
          <w:color w:val="auto"/>
        </w:rPr>
        <w:t xml:space="preserve"> </w:t>
      </w:r>
    </w:p>
    <w:tbl>
      <w:tblPr>
        <w:tblW w:w="58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610"/>
      </w:tblGrid>
      <w:tr w:rsidR="007C1B24" w:rsidRPr="00934F1F" w14:paraId="129F5C53" w14:textId="77777777" w:rsidTr="00617164">
        <w:trPr>
          <w:trHeight w:val="215"/>
        </w:trPr>
        <w:tc>
          <w:tcPr>
            <w:tcW w:w="3237" w:type="dxa"/>
            <w:shd w:val="clear" w:color="auto" w:fill="BFBFBF" w:themeFill="background1" w:themeFillShade="BF"/>
            <w:noWrap/>
            <w:vAlign w:val="center"/>
            <w:hideMark/>
          </w:tcPr>
          <w:p w14:paraId="3EACEE23" w14:textId="77777777" w:rsidR="007C1B24" w:rsidRPr="007C1B24" w:rsidRDefault="007C1B24" w:rsidP="00617164">
            <w:pPr>
              <w:spacing w:after="0" w:line="240" w:lineRule="auto"/>
              <w:rPr>
                <w:rFonts w:eastAsia="Times New Roman"/>
                <w:b/>
                <w:sz w:val="21"/>
                <w:szCs w:val="21"/>
              </w:rPr>
            </w:pPr>
            <w:r w:rsidRPr="007C1B24">
              <w:rPr>
                <w:rFonts w:eastAsia="Times New Roman"/>
                <w:b/>
                <w:sz w:val="21"/>
                <w:szCs w:val="21"/>
              </w:rPr>
              <w:t>Education (minimum advertised)</w:t>
            </w:r>
          </w:p>
        </w:tc>
        <w:tc>
          <w:tcPr>
            <w:tcW w:w="2610" w:type="dxa"/>
            <w:shd w:val="clear" w:color="auto" w:fill="BFBFBF" w:themeFill="background1" w:themeFillShade="BF"/>
            <w:noWrap/>
            <w:vAlign w:val="center"/>
            <w:hideMark/>
          </w:tcPr>
          <w:p w14:paraId="0B3886FD" w14:textId="77777777" w:rsidR="007C1B24" w:rsidRPr="007C1B24" w:rsidRDefault="007C1B24" w:rsidP="00617164">
            <w:pPr>
              <w:spacing w:after="0" w:line="240" w:lineRule="auto"/>
              <w:jc w:val="center"/>
              <w:rPr>
                <w:rFonts w:eastAsia="Times New Roman"/>
                <w:b/>
                <w:sz w:val="21"/>
                <w:szCs w:val="21"/>
              </w:rPr>
            </w:pPr>
            <w:r w:rsidRPr="007C1B24">
              <w:rPr>
                <w:rFonts w:eastAsia="Times New Roman"/>
                <w:b/>
                <w:sz w:val="21"/>
                <w:szCs w:val="21"/>
              </w:rPr>
              <w:t>Latest 12 Mos. Postings</w:t>
            </w:r>
          </w:p>
        </w:tc>
      </w:tr>
      <w:tr w:rsidR="007C1B24" w:rsidRPr="00934F1F" w14:paraId="5626DA5C" w14:textId="77777777" w:rsidTr="00617164">
        <w:trPr>
          <w:trHeight w:val="305"/>
        </w:trPr>
        <w:tc>
          <w:tcPr>
            <w:tcW w:w="3237" w:type="dxa"/>
            <w:shd w:val="clear" w:color="auto" w:fill="auto"/>
            <w:noWrap/>
            <w:vAlign w:val="center"/>
          </w:tcPr>
          <w:p w14:paraId="06A5896A" w14:textId="77777777" w:rsidR="007C1B24" w:rsidRPr="007C1B24" w:rsidRDefault="007C1B24" w:rsidP="00617164">
            <w:pPr>
              <w:spacing w:after="0" w:line="240" w:lineRule="auto"/>
              <w:rPr>
                <w:rFonts w:eastAsia="Times New Roman"/>
                <w:sz w:val="21"/>
                <w:szCs w:val="21"/>
              </w:rPr>
            </w:pPr>
            <w:r w:rsidRPr="007C1B24">
              <w:rPr>
                <w:rFonts w:eastAsia="Times New Roman"/>
                <w:sz w:val="21"/>
                <w:szCs w:val="21"/>
              </w:rPr>
              <w:t>High school or vocational training</w:t>
            </w:r>
          </w:p>
        </w:tc>
        <w:tc>
          <w:tcPr>
            <w:tcW w:w="2610" w:type="dxa"/>
            <w:shd w:val="clear" w:color="auto" w:fill="auto"/>
            <w:noWrap/>
            <w:vAlign w:val="center"/>
          </w:tcPr>
          <w:p w14:paraId="17954FE6" w14:textId="17D550E5" w:rsidR="007C1B24" w:rsidRPr="007C1B24" w:rsidRDefault="007C1B24" w:rsidP="00617164">
            <w:pPr>
              <w:spacing w:after="0" w:line="240" w:lineRule="auto"/>
              <w:jc w:val="center"/>
              <w:rPr>
                <w:rFonts w:eastAsia="Times New Roman"/>
                <w:sz w:val="21"/>
                <w:szCs w:val="21"/>
              </w:rPr>
            </w:pPr>
            <w:r w:rsidRPr="007C1B24">
              <w:rPr>
                <w:rFonts w:eastAsia="Times New Roman"/>
                <w:sz w:val="21"/>
                <w:szCs w:val="21"/>
              </w:rPr>
              <w:t>20</w:t>
            </w:r>
            <w:r w:rsidR="00636E31">
              <w:rPr>
                <w:rFonts w:eastAsia="Times New Roman"/>
                <w:sz w:val="21"/>
                <w:szCs w:val="21"/>
              </w:rPr>
              <w:t xml:space="preserve">  (87%)</w:t>
            </w:r>
          </w:p>
        </w:tc>
      </w:tr>
      <w:tr w:rsidR="007C1B24" w:rsidRPr="00934F1F" w14:paraId="216277D3" w14:textId="77777777" w:rsidTr="007C1B24">
        <w:trPr>
          <w:trHeight w:val="332"/>
        </w:trPr>
        <w:tc>
          <w:tcPr>
            <w:tcW w:w="3237" w:type="dxa"/>
            <w:shd w:val="clear" w:color="auto" w:fill="auto"/>
            <w:noWrap/>
            <w:vAlign w:val="center"/>
          </w:tcPr>
          <w:p w14:paraId="2B93D0EB" w14:textId="2BB2DCD7" w:rsidR="007C1B24" w:rsidRPr="007C1B24" w:rsidRDefault="007C1B24" w:rsidP="00617164">
            <w:pPr>
              <w:spacing w:after="0" w:line="240" w:lineRule="auto"/>
              <w:rPr>
                <w:rFonts w:eastAsia="Times New Roman"/>
                <w:sz w:val="21"/>
                <w:szCs w:val="21"/>
              </w:rPr>
            </w:pPr>
            <w:r w:rsidRPr="007C1B24">
              <w:rPr>
                <w:rFonts w:eastAsia="Times New Roman"/>
                <w:sz w:val="21"/>
                <w:szCs w:val="21"/>
              </w:rPr>
              <w:t>Bachelor’s Degree</w:t>
            </w:r>
          </w:p>
        </w:tc>
        <w:tc>
          <w:tcPr>
            <w:tcW w:w="2610" w:type="dxa"/>
            <w:shd w:val="clear" w:color="auto" w:fill="auto"/>
            <w:noWrap/>
            <w:vAlign w:val="center"/>
          </w:tcPr>
          <w:p w14:paraId="60C28483" w14:textId="6D8D2779" w:rsidR="007C1B24" w:rsidRPr="007C1B24" w:rsidRDefault="007C1B24" w:rsidP="00617164">
            <w:pPr>
              <w:spacing w:after="0" w:line="240" w:lineRule="auto"/>
              <w:jc w:val="center"/>
              <w:rPr>
                <w:rFonts w:eastAsia="Times New Roman"/>
                <w:sz w:val="21"/>
                <w:szCs w:val="21"/>
              </w:rPr>
            </w:pPr>
            <w:r w:rsidRPr="007C1B24">
              <w:rPr>
                <w:rFonts w:eastAsia="Times New Roman"/>
                <w:sz w:val="21"/>
                <w:szCs w:val="21"/>
              </w:rPr>
              <w:t>2</w:t>
            </w:r>
            <w:r w:rsidR="00636E31">
              <w:rPr>
                <w:rFonts w:eastAsia="Times New Roman"/>
                <w:sz w:val="21"/>
                <w:szCs w:val="21"/>
              </w:rPr>
              <w:t xml:space="preserve"> (9%)</w:t>
            </w:r>
          </w:p>
        </w:tc>
      </w:tr>
      <w:tr w:rsidR="007C1B24" w:rsidRPr="00934F1F" w14:paraId="55346F75" w14:textId="77777777" w:rsidTr="007C1B24">
        <w:trPr>
          <w:trHeight w:val="350"/>
        </w:trPr>
        <w:tc>
          <w:tcPr>
            <w:tcW w:w="3237" w:type="dxa"/>
            <w:shd w:val="clear" w:color="auto" w:fill="auto"/>
            <w:noWrap/>
            <w:vAlign w:val="center"/>
          </w:tcPr>
          <w:p w14:paraId="599B9226" w14:textId="5FA1BB48" w:rsidR="007C1B24" w:rsidRPr="007C1B24" w:rsidRDefault="007C1B24" w:rsidP="00617164">
            <w:pPr>
              <w:spacing w:after="0" w:line="240" w:lineRule="auto"/>
              <w:rPr>
                <w:rFonts w:eastAsia="Times New Roman"/>
                <w:sz w:val="21"/>
                <w:szCs w:val="21"/>
              </w:rPr>
            </w:pPr>
            <w:r w:rsidRPr="007C1B24">
              <w:rPr>
                <w:rFonts w:eastAsia="Times New Roman"/>
                <w:sz w:val="21"/>
                <w:szCs w:val="21"/>
              </w:rPr>
              <w:t>Master’s Degree</w:t>
            </w:r>
          </w:p>
        </w:tc>
        <w:tc>
          <w:tcPr>
            <w:tcW w:w="2610" w:type="dxa"/>
            <w:shd w:val="clear" w:color="auto" w:fill="auto"/>
            <w:noWrap/>
            <w:vAlign w:val="center"/>
          </w:tcPr>
          <w:p w14:paraId="404293FF" w14:textId="5B303555" w:rsidR="007C1B24" w:rsidRPr="007C1B24" w:rsidRDefault="007C1B24" w:rsidP="00617164">
            <w:pPr>
              <w:spacing w:after="0" w:line="240" w:lineRule="auto"/>
              <w:jc w:val="center"/>
              <w:rPr>
                <w:rFonts w:eastAsia="Times New Roman"/>
                <w:sz w:val="21"/>
                <w:szCs w:val="21"/>
              </w:rPr>
            </w:pPr>
            <w:r w:rsidRPr="007C1B24">
              <w:rPr>
                <w:rFonts w:eastAsia="Times New Roman"/>
                <w:sz w:val="21"/>
                <w:szCs w:val="21"/>
              </w:rPr>
              <w:t>1</w:t>
            </w:r>
            <w:r w:rsidR="00636E31">
              <w:rPr>
                <w:rFonts w:eastAsia="Times New Roman"/>
                <w:sz w:val="21"/>
                <w:szCs w:val="21"/>
              </w:rPr>
              <w:t xml:space="preserve"> (4%)</w:t>
            </w:r>
          </w:p>
        </w:tc>
      </w:tr>
    </w:tbl>
    <w:p w14:paraId="24CFB849" w14:textId="77777777" w:rsidR="007C1B24" w:rsidRDefault="007C1B24" w:rsidP="007C1B24">
      <w:pPr>
        <w:spacing w:line="240" w:lineRule="auto"/>
        <w:rPr>
          <w:i/>
          <w:sz w:val="20"/>
          <w:szCs w:val="20"/>
        </w:rPr>
      </w:pPr>
      <w:r w:rsidRPr="00672665">
        <w:rPr>
          <w:i/>
          <w:sz w:val="20"/>
          <w:szCs w:val="20"/>
        </w:rPr>
        <w:t>Source: Burning Glass</w:t>
      </w:r>
    </w:p>
    <w:p w14:paraId="293DF1F0" w14:textId="51E7F850" w:rsidR="008B2AC1" w:rsidRPr="00A75208" w:rsidRDefault="00A75208" w:rsidP="00A75208">
      <w:pPr>
        <w:pStyle w:val="Heading1"/>
      </w:pPr>
      <w:r>
        <w:t>Methodology</w:t>
      </w:r>
    </w:p>
    <w:p w14:paraId="454A43FC" w14:textId="4F96AF6C" w:rsidR="00BB31AC" w:rsidRPr="005C22C8" w:rsidRDefault="00891DFA">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 xml:space="preserve">Educational supply and student outcomes data is retrieved from multiple sources, including CTE </w:t>
      </w:r>
      <w:proofErr w:type="spellStart"/>
      <w:r w:rsidR="00C673BF">
        <w:t>L</w:t>
      </w:r>
      <w:r w:rsidR="005C22C8">
        <w:t>aunchboard</w:t>
      </w:r>
      <w:proofErr w:type="spellEnd"/>
      <w:r w:rsidR="005C22C8">
        <w:t xml:space="preserve"> and CCCCO Data Mart.</w:t>
      </w:r>
    </w:p>
    <w:p w14:paraId="23D84151" w14:textId="7D190E65"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1E3016AF" w:rsidR="004375A7" w:rsidRDefault="00C673BF" w:rsidP="0016622A">
      <w:pPr>
        <w:spacing w:after="60" w:line="240" w:lineRule="auto"/>
      </w:pPr>
      <w:r w:rsidRPr="00C673BF">
        <w:t>Chancellor’s Office MIS system</w:t>
      </w:r>
    </w:p>
    <w:p w14:paraId="2348A2B8" w14:textId="73F910E3" w:rsidR="00755AB2" w:rsidRDefault="00755AB2" w:rsidP="00755AB2">
      <w:pPr>
        <w:pStyle w:val="Heading1"/>
      </w:pPr>
      <w:r>
        <w:t>Contacts</w:t>
      </w:r>
    </w:p>
    <w:p w14:paraId="3195703F" w14:textId="77777777" w:rsidR="00755AB2" w:rsidRDefault="00755AB2" w:rsidP="00755AB2">
      <w:pPr>
        <w:spacing w:after="60" w:line="240" w:lineRule="auto"/>
      </w:pPr>
      <w:r>
        <w:t>For more information, please contact:</w:t>
      </w:r>
    </w:p>
    <w:p w14:paraId="3497344A" w14:textId="6866FD63" w:rsidR="00755AB2" w:rsidRDefault="00755AB2" w:rsidP="00AB6220">
      <w:pPr>
        <w:pStyle w:val="ListParagraph"/>
        <w:numPr>
          <w:ilvl w:val="0"/>
          <w:numId w:val="1"/>
        </w:numPr>
        <w:spacing w:after="120" w:line="240" w:lineRule="auto"/>
        <w:ind w:left="576"/>
      </w:pPr>
      <w:r>
        <w:t xml:space="preserve">Karen </w:t>
      </w:r>
      <w:proofErr w:type="spellStart"/>
      <w:r>
        <w:t>Beltramo</w:t>
      </w:r>
      <w:proofErr w:type="spellEnd"/>
      <w:r>
        <w:t>, Data Research Analyst, for Bay Area Community College Consortium (BACCC) and Centers of Excellence (</w:t>
      </w:r>
      <w:proofErr w:type="spellStart"/>
      <w:r>
        <w:t>CoE</w:t>
      </w:r>
      <w:proofErr w:type="spellEnd"/>
      <w:r>
        <w:t xml:space="preserve">), </w:t>
      </w:r>
      <w:hyperlink r:id="rId10" w:history="1">
        <w:r w:rsidRPr="00755AB2">
          <w:rPr>
            <w:rStyle w:val="Hyperlink"/>
            <w:color w:val="0070C0"/>
          </w:rPr>
          <w:t>karen@baccc.net</w:t>
        </w:r>
      </w:hyperlink>
      <w:r>
        <w:t xml:space="preserve"> or (831) 332-1253</w:t>
      </w:r>
    </w:p>
    <w:p w14:paraId="5213A16B" w14:textId="4798C567" w:rsidR="00755AB2" w:rsidRDefault="00755AB2" w:rsidP="00AB6220">
      <w:pPr>
        <w:pStyle w:val="ListParagraph"/>
        <w:numPr>
          <w:ilvl w:val="0"/>
          <w:numId w:val="1"/>
        </w:numPr>
        <w:spacing w:before="120" w:after="120" w:line="240" w:lineRule="auto"/>
        <w:ind w:left="576"/>
      </w:pPr>
      <w:r>
        <w:t xml:space="preserve">John </w:t>
      </w:r>
      <w:proofErr w:type="spellStart"/>
      <w:r>
        <w:t>Carrese</w:t>
      </w:r>
      <w:proofErr w:type="spellEnd"/>
      <w:r>
        <w:t xml:space="preserve">, Director San Francisco Bay Center of Excellence </w:t>
      </w:r>
      <w:r w:rsidR="00B65913">
        <w:t>for Labor Market Research (</w:t>
      </w:r>
      <w:r>
        <w:t>hosted at City College of San Francisco</w:t>
      </w:r>
      <w:r w:rsidR="00B65913">
        <w:t>)</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p w14:paraId="35E30294" w14:textId="77777777" w:rsidR="00755AB2" w:rsidRPr="004375A7" w:rsidRDefault="00755AB2" w:rsidP="0016622A">
      <w:pPr>
        <w:spacing w:after="60" w:line="240" w:lineRule="auto"/>
      </w:pPr>
    </w:p>
    <w:sectPr w:rsidR="00755AB2" w:rsidRPr="004375A7" w:rsidSect="00F248AB">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E044" w14:textId="77777777" w:rsidR="000C4B5A" w:rsidRDefault="000C4B5A" w:rsidP="00156651">
      <w:pPr>
        <w:spacing w:after="0" w:line="240" w:lineRule="auto"/>
      </w:pPr>
      <w:r>
        <w:separator/>
      </w:r>
    </w:p>
  </w:endnote>
  <w:endnote w:type="continuationSeparator" w:id="0">
    <w:p w14:paraId="4CF6940D" w14:textId="77777777" w:rsidR="000C4B5A" w:rsidRDefault="000C4B5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06D074A5" w:rsidR="00445C9F" w:rsidRPr="00073F42" w:rsidRDefault="00A56CE1" w:rsidP="002D5C81">
    <w:pPr>
      <w:pStyle w:val="Footer"/>
      <w:tabs>
        <w:tab w:val="clear" w:pos="4680"/>
        <w:tab w:val="center" w:pos="6660"/>
      </w:tabs>
      <w:rPr>
        <w:bCs/>
      </w:rPr>
    </w:pPr>
    <w:r>
      <w:rPr>
        <w:bCs/>
      </w:rPr>
      <w:t>Firefighters</w:t>
    </w:r>
    <w:r w:rsidR="00445C9F">
      <w:rPr>
        <w:bCs/>
      </w:rPr>
      <w:t>, Bay Region and</w:t>
    </w:r>
    <w:r>
      <w:rPr>
        <w:bCs/>
      </w:rPr>
      <w:t xml:space="preserve"> Santa Cruz-Monterey </w:t>
    </w:r>
    <w:r w:rsidR="00B02DCB">
      <w:rPr>
        <w:bCs/>
      </w:rPr>
      <w:t>Sub-Region, 2018</w:t>
    </w:r>
    <w:r w:rsidR="00445C9F">
      <w:rPr>
        <w:bCs/>
      </w:rPr>
      <w:tab/>
    </w:r>
    <w:r w:rsidR="00445C9F">
      <w:rPr>
        <w:bCs/>
      </w:rPr>
      <w:ptab w:relativeTo="margin" w:alignment="right" w:leader="none"/>
    </w:r>
    <w:r w:rsidR="00445C9F" w:rsidRPr="00126CD3">
      <w:rPr>
        <w:bCs/>
        <w:color w:val="7F7F7F" w:themeColor="background1" w:themeShade="7F"/>
        <w:spacing w:val="60"/>
      </w:rPr>
      <w:t>Page</w:t>
    </w:r>
    <w:r w:rsidR="00445C9F" w:rsidRPr="00126CD3">
      <w:rPr>
        <w:bCs/>
      </w:rPr>
      <w:t xml:space="preserve"> | </w:t>
    </w:r>
    <w:r w:rsidR="00445C9F" w:rsidRPr="00126CD3">
      <w:rPr>
        <w:bCs/>
      </w:rPr>
      <w:fldChar w:fldCharType="begin"/>
    </w:r>
    <w:r w:rsidR="00445C9F" w:rsidRPr="00126CD3">
      <w:rPr>
        <w:bCs/>
      </w:rPr>
      <w:instrText xml:space="preserve"> PAGE   \* MERGEFORMAT </w:instrText>
    </w:r>
    <w:r w:rsidR="00445C9F" w:rsidRPr="00126CD3">
      <w:rPr>
        <w:bCs/>
      </w:rPr>
      <w:fldChar w:fldCharType="separate"/>
    </w:r>
    <w:r w:rsidR="006C1903" w:rsidRPr="006C1903">
      <w:rPr>
        <w:b/>
        <w:bCs/>
        <w:noProof/>
      </w:rPr>
      <w:t>4</w:t>
    </w:r>
    <w:r w:rsidR="00445C9F" w:rsidRPr="00126CD3">
      <w:rPr>
        <w:b/>
        <w:bCs/>
        <w:noProof/>
      </w:rPr>
      <w:fldChar w:fldCharType="end"/>
    </w:r>
  </w:p>
  <w:p w14:paraId="784F6EC5" w14:textId="77777777" w:rsidR="00445C9F" w:rsidRDefault="00445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67B6F" w14:textId="77777777" w:rsidR="000C4B5A" w:rsidRDefault="000C4B5A" w:rsidP="00156651">
      <w:pPr>
        <w:spacing w:after="0" w:line="240" w:lineRule="auto"/>
      </w:pPr>
      <w:r>
        <w:separator/>
      </w:r>
    </w:p>
  </w:footnote>
  <w:footnote w:type="continuationSeparator" w:id="0">
    <w:p w14:paraId="104FB8B8" w14:textId="77777777" w:rsidR="000C4B5A" w:rsidRDefault="000C4B5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50D4B"/>
    <w:multiLevelType w:val="hybridMultilevel"/>
    <w:tmpl w:val="4BAC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60116"/>
    <w:multiLevelType w:val="hybridMultilevel"/>
    <w:tmpl w:val="9D28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747E9"/>
    <w:multiLevelType w:val="hybridMultilevel"/>
    <w:tmpl w:val="73D09628"/>
    <w:lvl w:ilvl="0" w:tplc="04090001">
      <w:start w:val="1"/>
      <w:numFmt w:val="bullet"/>
      <w:lvlText w:val=""/>
      <w:lvlJc w:val="left"/>
      <w:pPr>
        <w:ind w:left="9180" w:hanging="360"/>
      </w:pPr>
      <w:rPr>
        <w:rFonts w:ascii="Symbol" w:hAnsi="Symbol" w:hint="default"/>
      </w:rPr>
    </w:lvl>
    <w:lvl w:ilvl="1" w:tplc="04090003">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448C"/>
    <w:rsid w:val="00004D9A"/>
    <w:rsid w:val="00006616"/>
    <w:rsid w:val="00012013"/>
    <w:rsid w:val="000127DF"/>
    <w:rsid w:val="00027B73"/>
    <w:rsid w:val="00030C64"/>
    <w:rsid w:val="00031B2D"/>
    <w:rsid w:val="000340C2"/>
    <w:rsid w:val="00034645"/>
    <w:rsid w:val="000346BD"/>
    <w:rsid w:val="000444C7"/>
    <w:rsid w:val="00046343"/>
    <w:rsid w:val="000559A6"/>
    <w:rsid w:val="00061CEE"/>
    <w:rsid w:val="00063D96"/>
    <w:rsid w:val="0006648C"/>
    <w:rsid w:val="00070CD8"/>
    <w:rsid w:val="00073F42"/>
    <w:rsid w:val="00081A00"/>
    <w:rsid w:val="000953D0"/>
    <w:rsid w:val="0009605B"/>
    <w:rsid w:val="000A6476"/>
    <w:rsid w:val="000B3343"/>
    <w:rsid w:val="000B5FBB"/>
    <w:rsid w:val="000B616F"/>
    <w:rsid w:val="000B6A07"/>
    <w:rsid w:val="000C2BEB"/>
    <w:rsid w:val="000C4B5A"/>
    <w:rsid w:val="000C5E06"/>
    <w:rsid w:val="000D0A83"/>
    <w:rsid w:val="000D2F65"/>
    <w:rsid w:val="000D5FA2"/>
    <w:rsid w:val="000E04A8"/>
    <w:rsid w:val="00100A1F"/>
    <w:rsid w:val="0011153C"/>
    <w:rsid w:val="00112D22"/>
    <w:rsid w:val="00115644"/>
    <w:rsid w:val="0011609B"/>
    <w:rsid w:val="00121B16"/>
    <w:rsid w:val="0012345F"/>
    <w:rsid w:val="00126113"/>
    <w:rsid w:val="0012674D"/>
    <w:rsid w:val="00126CD3"/>
    <w:rsid w:val="00133AF9"/>
    <w:rsid w:val="001342CC"/>
    <w:rsid w:val="001366E7"/>
    <w:rsid w:val="00137E89"/>
    <w:rsid w:val="00140ABF"/>
    <w:rsid w:val="00141F46"/>
    <w:rsid w:val="001459D8"/>
    <w:rsid w:val="00150FE1"/>
    <w:rsid w:val="00156651"/>
    <w:rsid w:val="00165174"/>
    <w:rsid w:val="001658A4"/>
    <w:rsid w:val="0016622A"/>
    <w:rsid w:val="00166E99"/>
    <w:rsid w:val="00183536"/>
    <w:rsid w:val="0018693D"/>
    <w:rsid w:val="0018741E"/>
    <w:rsid w:val="00190A54"/>
    <w:rsid w:val="00193BC4"/>
    <w:rsid w:val="00196029"/>
    <w:rsid w:val="001A456B"/>
    <w:rsid w:val="001D11AB"/>
    <w:rsid w:val="001D3094"/>
    <w:rsid w:val="001D3430"/>
    <w:rsid w:val="001E12FB"/>
    <w:rsid w:val="001E2E18"/>
    <w:rsid w:val="001F5774"/>
    <w:rsid w:val="001F688B"/>
    <w:rsid w:val="0020644F"/>
    <w:rsid w:val="00207B5E"/>
    <w:rsid w:val="00210FF8"/>
    <w:rsid w:val="00212919"/>
    <w:rsid w:val="002155A4"/>
    <w:rsid w:val="002165BB"/>
    <w:rsid w:val="00220D3F"/>
    <w:rsid w:val="00226D46"/>
    <w:rsid w:val="002344D1"/>
    <w:rsid w:val="0024018A"/>
    <w:rsid w:val="002423E0"/>
    <w:rsid w:val="00245198"/>
    <w:rsid w:val="00252D6A"/>
    <w:rsid w:val="002620D5"/>
    <w:rsid w:val="00266A78"/>
    <w:rsid w:val="002670A0"/>
    <w:rsid w:val="002670F8"/>
    <w:rsid w:val="00271FA8"/>
    <w:rsid w:val="00272D15"/>
    <w:rsid w:val="00283076"/>
    <w:rsid w:val="00284762"/>
    <w:rsid w:val="00290568"/>
    <w:rsid w:val="00292209"/>
    <w:rsid w:val="002A358B"/>
    <w:rsid w:val="002A6F97"/>
    <w:rsid w:val="002B63C9"/>
    <w:rsid w:val="002B6597"/>
    <w:rsid w:val="002C01A5"/>
    <w:rsid w:val="002C2AFA"/>
    <w:rsid w:val="002D0026"/>
    <w:rsid w:val="002D0F67"/>
    <w:rsid w:val="002D5C81"/>
    <w:rsid w:val="002D6B78"/>
    <w:rsid w:val="002E0F77"/>
    <w:rsid w:val="002E4DAF"/>
    <w:rsid w:val="002F602A"/>
    <w:rsid w:val="002F6CC8"/>
    <w:rsid w:val="00300220"/>
    <w:rsid w:val="003016CA"/>
    <w:rsid w:val="00310ABE"/>
    <w:rsid w:val="003120E2"/>
    <w:rsid w:val="00313453"/>
    <w:rsid w:val="00314A33"/>
    <w:rsid w:val="00315496"/>
    <w:rsid w:val="00317D20"/>
    <w:rsid w:val="00327790"/>
    <w:rsid w:val="00334B3A"/>
    <w:rsid w:val="0034278E"/>
    <w:rsid w:val="003459D0"/>
    <w:rsid w:val="00346FAC"/>
    <w:rsid w:val="00350196"/>
    <w:rsid w:val="0035246E"/>
    <w:rsid w:val="00355546"/>
    <w:rsid w:val="00383FE9"/>
    <w:rsid w:val="00384BD0"/>
    <w:rsid w:val="00385AF5"/>
    <w:rsid w:val="00393A40"/>
    <w:rsid w:val="003A698D"/>
    <w:rsid w:val="003C203B"/>
    <w:rsid w:val="003C6671"/>
    <w:rsid w:val="003D0957"/>
    <w:rsid w:val="003D41A1"/>
    <w:rsid w:val="003F0294"/>
    <w:rsid w:val="003F4EB3"/>
    <w:rsid w:val="0040391C"/>
    <w:rsid w:val="00404C11"/>
    <w:rsid w:val="004053F3"/>
    <w:rsid w:val="004106E2"/>
    <w:rsid w:val="004118ED"/>
    <w:rsid w:val="00414517"/>
    <w:rsid w:val="00420500"/>
    <w:rsid w:val="00427CF5"/>
    <w:rsid w:val="00430DC2"/>
    <w:rsid w:val="0043602F"/>
    <w:rsid w:val="00436101"/>
    <w:rsid w:val="00436C40"/>
    <w:rsid w:val="004375A7"/>
    <w:rsid w:val="00445C9F"/>
    <w:rsid w:val="004467F8"/>
    <w:rsid w:val="004575C8"/>
    <w:rsid w:val="004608B6"/>
    <w:rsid w:val="004745F0"/>
    <w:rsid w:val="00484A61"/>
    <w:rsid w:val="00492C09"/>
    <w:rsid w:val="004A4F14"/>
    <w:rsid w:val="004A7CBA"/>
    <w:rsid w:val="004B329A"/>
    <w:rsid w:val="004C31BC"/>
    <w:rsid w:val="004C5C32"/>
    <w:rsid w:val="004C666A"/>
    <w:rsid w:val="004D2ADF"/>
    <w:rsid w:val="004E0189"/>
    <w:rsid w:val="004E34C3"/>
    <w:rsid w:val="004F1CFB"/>
    <w:rsid w:val="004F20A9"/>
    <w:rsid w:val="004F59A7"/>
    <w:rsid w:val="00505298"/>
    <w:rsid w:val="00505546"/>
    <w:rsid w:val="00516A6D"/>
    <w:rsid w:val="00520FCD"/>
    <w:rsid w:val="00526EE8"/>
    <w:rsid w:val="00536A31"/>
    <w:rsid w:val="00536CBC"/>
    <w:rsid w:val="00543CB8"/>
    <w:rsid w:val="00544C05"/>
    <w:rsid w:val="00545C86"/>
    <w:rsid w:val="00551A32"/>
    <w:rsid w:val="00552133"/>
    <w:rsid w:val="0055323B"/>
    <w:rsid w:val="00555C12"/>
    <w:rsid w:val="0055655F"/>
    <w:rsid w:val="00565370"/>
    <w:rsid w:val="00573D66"/>
    <w:rsid w:val="005764CA"/>
    <w:rsid w:val="0058288A"/>
    <w:rsid w:val="005903E5"/>
    <w:rsid w:val="00594E54"/>
    <w:rsid w:val="005A5F95"/>
    <w:rsid w:val="005A691C"/>
    <w:rsid w:val="005A6CEB"/>
    <w:rsid w:val="005A72AB"/>
    <w:rsid w:val="005A7931"/>
    <w:rsid w:val="005B0ACE"/>
    <w:rsid w:val="005C07E2"/>
    <w:rsid w:val="005C1E40"/>
    <w:rsid w:val="005C22C8"/>
    <w:rsid w:val="005C24E6"/>
    <w:rsid w:val="005C31F2"/>
    <w:rsid w:val="005C5650"/>
    <w:rsid w:val="005D020F"/>
    <w:rsid w:val="005E129F"/>
    <w:rsid w:val="005E2429"/>
    <w:rsid w:val="005E2EB4"/>
    <w:rsid w:val="005E4F2B"/>
    <w:rsid w:val="005E6189"/>
    <w:rsid w:val="005F1B11"/>
    <w:rsid w:val="005F445F"/>
    <w:rsid w:val="005F6C43"/>
    <w:rsid w:val="005F7D50"/>
    <w:rsid w:val="00604549"/>
    <w:rsid w:val="0061156D"/>
    <w:rsid w:val="006171F8"/>
    <w:rsid w:val="00621875"/>
    <w:rsid w:val="00634A70"/>
    <w:rsid w:val="00636E31"/>
    <w:rsid w:val="00652201"/>
    <w:rsid w:val="00654F64"/>
    <w:rsid w:val="00664A15"/>
    <w:rsid w:val="00666C9B"/>
    <w:rsid w:val="0067003B"/>
    <w:rsid w:val="00671C82"/>
    <w:rsid w:val="00672665"/>
    <w:rsid w:val="006818FF"/>
    <w:rsid w:val="00686E1E"/>
    <w:rsid w:val="006919FB"/>
    <w:rsid w:val="006A5228"/>
    <w:rsid w:val="006B2E14"/>
    <w:rsid w:val="006B3FC1"/>
    <w:rsid w:val="006B4C2B"/>
    <w:rsid w:val="006B55FA"/>
    <w:rsid w:val="006C1308"/>
    <w:rsid w:val="006C1903"/>
    <w:rsid w:val="006E0FCF"/>
    <w:rsid w:val="006E2B6C"/>
    <w:rsid w:val="006E3877"/>
    <w:rsid w:val="006E5B50"/>
    <w:rsid w:val="006F5744"/>
    <w:rsid w:val="00705F16"/>
    <w:rsid w:val="00727120"/>
    <w:rsid w:val="007347F4"/>
    <w:rsid w:val="00743777"/>
    <w:rsid w:val="00750FFE"/>
    <w:rsid w:val="00755AB2"/>
    <w:rsid w:val="00763058"/>
    <w:rsid w:val="00764301"/>
    <w:rsid w:val="0077259B"/>
    <w:rsid w:val="007759E5"/>
    <w:rsid w:val="00775A46"/>
    <w:rsid w:val="0079703F"/>
    <w:rsid w:val="007A1F8F"/>
    <w:rsid w:val="007B00B4"/>
    <w:rsid w:val="007C1B24"/>
    <w:rsid w:val="007C6413"/>
    <w:rsid w:val="007D1FB2"/>
    <w:rsid w:val="007D4460"/>
    <w:rsid w:val="007D7C95"/>
    <w:rsid w:val="007E34C7"/>
    <w:rsid w:val="007F054A"/>
    <w:rsid w:val="00800374"/>
    <w:rsid w:val="00803E93"/>
    <w:rsid w:val="00812526"/>
    <w:rsid w:val="00815B15"/>
    <w:rsid w:val="00815B5F"/>
    <w:rsid w:val="00823772"/>
    <w:rsid w:val="0083078A"/>
    <w:rsid w:val="00830C49"/>
    <w:rsid w:val="008409A0"/>
    <w:rsid w:val="0085265C"/>
    <w:rsid w:val="00862F76"/>
    <w:rsid w:val="00865497"/>
    <w:rsid w:val="0087274C"/>
    <w:rsid w:val="00876AF6"/>
    <w:rsid w:val="00876F2C"/>
    <w:rsid w:val="00881379"/>
    <w:rsid w:val="00891DFA"/>
    <w:rsid w:val="008A05B1"/>
    <w:rsid w:val="008A0814"/>
    <w:rsid w:val="008B2AC1"/>
    <w:rsid w:val="008B487A"/>
    <w:rsid w:val="008C2BE6"/>
    <w:rsid w:val="008D4858"/>
    <w:rsid w:val="008D4DA6"/>
    <w:rsid w:val="008E1819"/>
    <w:rsid w:val="008E416C"/>
    <w:rsid w:val="008E688F"/>
    <w:rsid w:val="008F2F0F"/>
    <w:rsid w:val="008F77A4"/>
    <w:rsid w:val="0090214F"/>
    <w:rsid w:val="00905F7B"/>
    <w:rsid w:val="009074B9"/>
    <w:rsid w:val="00912921"/>
    <w:rsid w:val="009158BE"/>
    <w:rsid w:val="00916D51"/>
    <w:rsid w:val="0092699C"/>
    <w:rsid w:val="009310E2"/>
    <w:rsid w:val="00933AED"/>
    <w:rsid w:val="0093428B"/>
    <w:rsid w:val="00934F1F"/>
    <w:rsid w:val="009449D1"/>
    <w:rsid w:val="00950FBE"/>
    <w:rsid w:val="00960FA2"/>
    <w:rsid w:val="009625EF"/>
    <w:rsid w:val="00963D9A"/>
    <w:rsid w:val="00964183"/>
    <w:rsid w:val="0096674A"/>
    <w:rsid w:val="00975653"/>
    <w:rsid w:val="00976E62"/>
    <w:rsid w:val="00980558"/>
    <w:rsid w:val="009857B9"/>
    <w:rsid w:val="00986589"/>
    <w:rsid w:val="00995018"/>
    <w:rsid w:val="00995F7E"/>
    <w:rsid w:val="00996CC1"/>
    <w:rsid w:val="009A00A5"/>
    <w:rsid w:val="009C27D8"/>
    <w:rsid w:val="009C61B9"/>
    <w:rsid w:val="009C7AE6"/>
    <w:rsid w:val="009D39E7"/>
    <w:rsid w:val="009D57F4"/>
    <w:rsid w:val="009E65F5"/>
    <w:rsid w:val="009F5115"/>
    <w:rsid w:val="009F7D61"/>
    <w:rsid w:val="00A00707"/>
    <w:rsid w:val="00A01C19"/>
    <w:rsid w:val="00A11D49"/>
    <w:rsid w:val="00A50F9D"/>
    <w:rsid w:val="00A523CE"/>
    <w:rsid w:val="00A5330B"/>
    <w:rsid w:val="00A56CE1"/>
    <w:rsid w:val="00A63080"/>
    <w:rsid w:val="00A64EDB"/>
    <w:rsid w:val="00A65758"/>
    <w:rsid w:val="00A75208"/>
    <w:rsid w:val="00A91137"/>
    <w:rsid w:val="00A91C50"/>
    <w:rsid w:val="00AA1954"/>
    <w:rsid w:val="00AA4E63"/>
    <w:rsid w:val="00AB20B2"/>
    <w:rsid w:val="00AB3A8E"/>
    <w:rsid w:val="00AB5F77"/>
    <w:rsid w:val="00AB6220"/>
    <w:rsid w:val="00AC2FAE"/>
    <w:rsid w:val="00AC5F69"/>
    <w:rsid w:val="00AC6D9B"/>
    <w:rsid w:val="00AD770C"/>
    <w:rsid w:val="00AE084C"/>
    <w:rsid w:val="00AE23EF"/>
    <w:rsid w:val="00B02DCB"/>
    <w:rsid w:val="00B0561D"/>
    <w:rsid w:val="00B1346E"/>
    <w:rsid w:val="00B150BC"/>
    <w:rsid w:val="00B35E41"/>
    <w:rsid w:val="00B41A0C"/>
    <w:rsid w:val="00B422ED"/>
    <w:rsid w:val="00B42B1D"/>
    <w:rsid w:val="00B42FAE"/>
    <w:rsid w:val="00B444EA"/>
    <w:rsid w:val="00B53E4A"/>
    <w:rsid w:val="00B55D47"/>
    <w:rsid w:val="00B64EF3"/>
    <w:rsid w:val="00B65913"/>
    <w:rsid w:val="00B745BF"/>
    <w:rsid w:val="00B76BC4"/>
    <w:rsid w:val="00B87926"/>
    <w:rsid w:val="00BB31AC"/>
    <w:rsid w:val="00BD48D5"/>
    <w:rsid w:val="00BF37FA"/>
    <w:rsid w:val="00BF7704"/>
    <w:rsid w:val="00C024BA"/>
    <w:rsid w:val="00C02889"/>
    <w:rsid w:val="00C02CE3"/>
    <w:rsid w:val="00C035EC"/>
    <w:rsid w:val="00C26FCC"/>
    <w:rsid w:val="00C309E6"/>
    <w:rsid w:val="00C33EFF"/>
    <w:rsid w:val="00C40636"/>
    <w:rsid w:val="00C416A9"/>
    <w:rsid w:val="00C47169"/>
    <w:rsid w:val="00C5208C"/>
    <w:rsid w:val="00C551CB"/>
    <w:rsid w:val="00C673BF"/>
    <w:rsid w:val="00C744D1"/>
    <w:rsid w:val="00C7503E"/>
    <w:rsid w:val="00C7733C"/>
    <w:rsid w:val="00C940C0"/>
    <w:rsid w:val="00CC006A"/>
    <w:rsid w:val="00CC0C7C"/>
    <w:rsid w:val="00CE00A0"/>
    <w:rsid w:val="00CE0B1F"/>
    <w:rsid w:val="00CE4C7B"/>
    <w:rsid w:val="00CF0B2C"/>
    <w:rsid w:val="00CF3951"/>
    <w:rsid w:val="00CF5346"/>
    <w:rsid w:val="00CF74B2"/>
    <w:rsid w:val="00D07E16"/>
    <w:rsid w:val="00D122C9"/>
    <w:rsid w:val="00D12853"/>
    <w:rsid w:val="00D1462B"/>
    <w:rsid w:val="00D15303"/>
    <w:rsid w:val="00D159AE"/>
    <w:rsid w:val="00D26835"/>
    <w:rsid w:val="00D35681"/>
    <w:rsid w:val="00D36F29"/>
    <w:rsid w:val="00D37168"/>
    <w:rsid w:val="00D43FB3"/>
    <w:rsid w:val="00D44438"/>
    <w:rsid w:val="00D44B54"/>
    <w:rsid w:val="00D6277B"/>
    <w:rsid w:val="00D72B18"/>
    <w:rsid w:val="00D802FA"/>
    <w:rsid w:val="00D80F22"/>
    <w:rsid w:val="00D82493"/>
    <w:rsid w:val="00D8494B"/>
    <w:rsid w:val="00D84EA0"/>
    <w:rsid w:val="00D91A20"/>
    <w:rsid w:val="00D94D8B"/>
    <w:rsid w:val="00D96E39"/>
    <w:rsid w:val="00DA0761"/>
    <w:rsid w:val="00DA2543"/>
    <w:rsid w:val="00DA46DB"/>
    <w:rsid w:val="00DB2F21"/>
    <w:rsid w:val="00DC310E"/>
    <w:rsid w:val="00DE2E11"/>
    <w:rsid w:val="00E0419C"/>
    <w:rsid w:val="00E04CFC"/>
    <w:rsid w:val="00E05BE1"/>
    <w:rsid w:val="00E07170"/>
    <w:rsid w:val="00E1365E"/>
    <w:rsid w:val="00E21937"/>
    <w:rsid w:val="00E26968"/>
    <w:rsid w:val="00E31588"/>
    <w:rsid w:val="00E35635"/>
    <w:rsid w:val="00E35733"/>
    <w:rsid w:val="00E443C6"/>
    <w:rsid w:val="00E5330C"/>
    <w:rsid w:val="00E563D1"/>
    <w:rsid w:val="00E663B2"/>
    <w:rsid w:val="00E81D6F"/>
    <w:rsid w:val="00E850D2"/>
    <w:rsid w:val="00E8758C"/>
    <w:rsid w:val="00E917FD"/>
    <w:rsid w:val="00E9611A"/>
    <w:rsid w:val="00EA06CE"/>
    <w:rsid w:val="00EA33E1"/>
    <w:rsid w:val="00EA77FC"/>
    <w:rsid w:val="00EB5CCC"/>
    <w:rsid w:val="00EB77AE"/>
    <w:rsid w:val="00EC54F6"/>
    <w:rsid w:val="00ED00B0"/>
    <w:rsid w:val="00EE13D7"/>
    <w:rsid w:val="00EE5AA9"/>
    <w:rsid w:val="00F2043B"/>
    <w:rsid w:val="00F248AB"/>
    <w:rsid w:val="00F33524"/>
    <w:rsid w:val="00F370A1"/>
    <w:rsid w:val="00F37D12"/>
    <w:rsid w:val="00F41678"/>
    <w:rsid w:val="00F41D29"/>
    <w:rsid w:val="00F5779D"/>
    <w:rsid w:val="00F57E7C"/>
    <w:rsid w:val="00F9470E"/>
    <w:rsid w:val="00FA1B58"/>
    <w:rsid w:val="00FA3257"/>
    <w:rsid w:val="00FA719D"/>
    <w:rsid w:val="00FB359E"/>
    <w:rsid w:val="00FD2CE1"/>
    <w:rsid w:val="00FD5A99"/>
    <w:rsid w:val="00FE0802"/>
    <w:rsid w:val="00FE43D3"/>
    <w:rsid w:val="00FE7286"/>
    <w:rsid w:val="00FF0339"/>
    <w:rsid w:val="00FF4567"/>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styleId="FollowedHyperlink">
    <w:name w:val="FollowedHyperlink"/>
    <w:basedOn w:val="DefaultParagraphFont"/>
    <w:uiPriority w:val="99"/>
    <w:semiHidden/>
    <w:unhideWhenUsed/>
    <w:rsid w:val="00A65758"/>
    <w:rPr>
      <w:color w:val="A8B8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72811581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009679265">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46488270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902D-1AD4-4443-8BB6-CCD5DDAF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15090312</Template>
  <TotalTime>0</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Judith Cutting</cp:lastModifiedBy>
  <cp:revision>2</cp:revision>
  <cp:lastPrinted>2018-02-08T17:35:00Z</cp:lastPrinted>
  <dcterms:created xsi:type="dcterms:W3CDTF">2018-02-08T17:35:00Z</dcterms:created>
  <dcterms:modified xsi:type="dcterms:W3CDTF">2018-02-08T17:35:00Z</dcterms:modified>
</cp:coreProperties>
</file>